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hint="eastAsia" w:ascii="方正小标宋_GBK" w:hAnsi="Times New Roman" w:eastAsia="方正小标宋_GBK" w:cs="Times New Roman"/>
          <w:b/>
          <w:bCs w:val="0"/>
          <w:sz w:val="44"/>
          <w:szCs w:val="44"/>
        </w:rPr>
      </w:pPr>
      <w:r>
        <w:rPr>
          <w:rFonts w:hint="eastAsia" w:ascii="方正小标宋_GBK" w:hAnsi="Times New Roman" w:eastAsia="方正小标宋_GBK" w:cs="Times New Roman"/>
          <w:b/>
          <w:bCs w:val="0"/>
          <w:sz w:val="44"/>
          <w:szCs w:val="44"/>
        </w:rPr>
        <w:t>隆尧县县直工委</w:t>
      </w:r>
    </w:p>
    <w:p>
      <w:pPr>
        <w:jc w:val="center"/>
        <w:rPr>
          <w:rFonts w:ascii="Times New Roman" w:hAnsi="Times New Roman" w:eastAsia="方正小标宋_GBK" w:cs="Times New Roman"/>
          <w:b/>
          <w:bCs w:val="0"/>
          <w:sz w:val="44"/>
          <w:szCs w:val="44"/>
        </w:rPr>
      </w:pPr>
      <w:r>
        <w:rPr>
          <w:rFonts w:hint="eastAsia" w:ascii="方正小标宋_GBK" w:hAnsi="Times New Roman" w:eastAsia="方正小标宋_GBK" w:cs="Times New Roman"/>
          <w:b/>
          <w:bCs w:val="0"/>
          <w:sz w:val="44"/>
          <w:szCs w:val="44"/>
        </w:rPr>
        <w:t>20</w:t>
      </w:r>
      <w:r>
        <w:rPr>
          <w:rFonts w:hint="eastAsia" w:ascii="方正小标宋_GBK" w:hAnsi="Times New Roman" w:eastAsia="方正小标宋_GBK" w:cs="Times New Roman"/>
          <w:b/>
          <w:bCs w:val="0"/>
          <w:sz w:val="44"/>
          <w:szCs w:val="44"/>
          <w:lang w:val="en-US" w:eastAsia="zh-CN"/>
        </w:rPr>
        <w:t>21</w:t>
      </w:r>
      <w:r>
        <w:rPr>
          <w:rFonts w:hint="eastAsia" w:ascii="方正小标宋_GBK" w:hAnsi="Times New Roman" w:eastAsia="方正小标宋_GBK" w:cs="Times New Roman"/>
          <w:b/>
          <w:bCs w:val="0"/>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按照《预算法》、《地方预决算公开操作规程》和《河北省省级预算公开办法》规定，现将隆尧县县直工委</w:t>
      </w:r>
      <w:r>
        <w:rPr>
          <w:rFonts w:ascii="仿宋" w:hAnsi="仿宋" w:eastAsia="仿宋" w:cs="Times New Roman"/>
          <w:sz w:val="32"/>
          <w:szCs w:val="32"/>
        </w:rPr>
        <w:t>20</w:t>
      </w:r>
      <w:r>
        <w:rPr>
          <w:rFonts w:hint="eastAsia" w:ascii="仿宋" w:hAnsi="仿宋" w:eastAsia="仿宋" w:cs="Times New Roman"/>
          <w:sz w:val="32"/>
          <w:szCs w:val="32"/>
          <w:lang w:val="en-US" w:eastAsia="zh-CN"/>
        </w:rPr>
        <w:t>21</w:t>
      </w:r>
      <w:r>
        <w:rPr>
          <w:rFonts w:hint="eastAsia"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部门职责：</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（一）指导县直机关各级党组织抓好党的思想、组织、作风建设和党员教育管理，负责综合指导县直机关精神文明建设及普法工作，承担县直机关思想道德文化建设工作。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（二）指导各级党组织加强学习型党组织建设，对党员特别是党员领导干部的监督，定期了解各部门党员和群众对部门领导干部的意见，及时向县委反映县直各部门领导班子和领导干部的情况和问题。</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（三）教育引导县直干部职工学习国防知识，增强国防理念，支持国防建设，加强专武干部、国防教育宣传员培训和民兵组织建设，提高工作能力和民兵组织战斗力。</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9"/>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中共隆尧县委县直属单位工作委员会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部门预算的编制实行综合预算管理，即全部收入和支出都反映的预算中。隆尧县县直工委的</w:t>
      </w:r>
      <w:r>
        <w:rPr>
          <w:rFonts w:hint="eastAsia" w:ascii="Times New Roman" w:hAnsi="Times New Roman" w:eastAsia="仿宋" w:cs="Times New Roman"/>
          <w:sz w:val="32"/>
          <w:szCs w:val="32"/>
          <w:lang w:eastAsia="zh-CN"/>
        </w:rPr>
        <w:t>全部</w:t>
      </w:r>
      <w:bookmarkStart w:id="4" w:name="_GoBack"/>
      <w:bookmarkEnd w:id="4"/>
      <w:r>
        <w:rPr>
          <w:rFonts w:hint="eastAsia" w:ascii="Times New Roman" w:hAnsi="Times New Roman" w:eastAsia="仿宋" w:cs="Times New Roman"/>
          <w:sz w:val="32"/>
          <w:szCs w:val="32"/>
        </w:rPr>
        <w:t>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60.00</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60.00</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收支预算总表支出栏、基本支出表、项目支出表按经济分类和支出功能分类科目编制，反映隆尧县县直工委年度部门预算中支出预算的总体情况。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60.00</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56.00</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49.34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6.66</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4</w:t>
      </w:r>
      <w:r>
        <w:rPr>
          <w:rFonts w:hint="eastAsia" w:ascii="Times New Roman" w:hAnsi="Times New Roman" w:eastAsia="仿宋" w:cs="Times New Roman"/>
          <w:sz w:val="32"/>
          <w:szCs w:val="32"/>
        </w:rPr>
        <w:t>万元，主要为其他共产党事务支出</w:t>
      </w:r>
      <w:r>
        <w:rPr>
          <w:rFonts w:ascii="Times New Roman" w:hAnsi="Times New Roman" w:eastAsia="仿宋" w:cs="Times New Roman"/>
          <w:sz w:val="32"/>
          <w:szCs w:val="32"/>
        </w:rPr>
        <w:t>4</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60.00</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预算</w:t>
      </w:r>
      <w:r>
        <w:rPr>
          <w:rFonts w:hint="eastAsia" w:ascii="Times New Roman" w:hAnsi="Times New Roman" w:eastAsia="仿宋" w:cs="Times New Roman"/>
          <w:sz w:val="32"/>
          <w:szCs w:val="32"/>
        </w:rPr>
        <w:t>增长</w:t>
      </w:r>
      <w:r>
        <w:rPr>
          <w:rFonts w:hint="eastAsia" w:ascii="Times New Roman" w:hAnsi="Times New Roman" w:eastAsia="仿宋" w:cs="Times New Roman"/>
          <w:sz w:val="32"/>
          <w:szCs w:val="32"/>
          <w:lang w:val="en-US" w:eastAsia="zh-CN"/>
        </w:rPr>
        <w:t>0.22</w:t>
      </w:r>
      <w:r>
        <w:rPr>
          <w:rFonts w:hint="eastAsia" w:ascii="Times New Roman" w:hAnsi="Times New Roman" w:eastAsia="仿宋" w:cs="Times New Roman"/>
          <w:sz w:val="32"/>
          <w:szCs w:val="32"/>
        </w:rPr>
        <w:t>万元，其中：基本支出增长</w:t>
      </w:r>
      <w:r>
        <w:rPr>
          <w:rFonts w:hint="eastAsia" w:ascii="Times New Roman" w:hAnsi="Times New Roman" w:eastAsia="仿宋" w:cs="Times New Roman"/>
          <w:sz w:val="32"/>
          <w:szCs w:val="32"/>
          <w:lang w:val="en-US" w:eastAsia="zh-CN"/>
        </w:rPr>
        <w:t>0.22</w:t>
      </w:r>
      <w:r>
        <w:rPr>
          <w:rFonts w:hint="eastAsia" w:ascii="Times New Roman" w:hAnsi="Times New Roman" w:eastAsia="仿宋" w:cs="Times New Roman"/>
          <w:sz w:val="32"/>
          <w:szCs w:val="32"/>
        </w:rPr>
        <w:t>万元，主要是增加人员经费；项目支出增长</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6.66</w:t>
      </w:r>
      <w:r>
        <w:rPr>
          <w:rFonts w:hint="eastAsia" w:ascii="Times New Roman" w:hAnsi="Times New Roman" w:eastAsia="仿宋" w:cs="Times New Roman"/>
          <w:sz w:val="32"/>
          <w:szCs w:val="32"/>
        </w:rPr>
        <w:t>万元，主要用于保证机关正常运转的办公费、公务交通补贴、工公经费、党组织活动经费、福利费等支出。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年，我部门财政拨款“三公”经费预算安排</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　　</w:t>
      </w: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56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，加强县直机关党的思想政治建设、组织建设、作风建设、制度建设和反腐倡廉建设，做好县直机关其他党建工作。</w:t>
      </w:r>
    </w:p>
    <w:p>
      <w:pPr>
        <w:ind w:firstLine="560"/>
        <w:rPr>
          <w:rFonts w:hint="eastAsia"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，指导县直机关动员组织党外人士、群众团体积极开展活动，做好全民国防教育和人民武装工作，发挥各自职能作用，服务中心工作。</w:t>
      </w:r>
    </w:p>
    <w:p>
      <w:pPr>
        <w:ind w:firstLine="56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县直单位党建工作</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绩效目标：</w:t>
      </w:r>
      <w:r>
        <w:rPr>
          <w:rFonts w:hint="eastAsia" w:ascii="Times New Roman" w:hAnsi="Times New Roman" w:eastAsia="仿宋" w:cs="Times New Roman"/>
          <w:sz w:val="32"/>
          <w:szCs w:val="32"/>
          <w:lang w:eastAsia="zh-CN"/>
        </w:rPr>
        <w:t>进一步加强县直单位党员干部思想建设、政治建设、组织建设、作风建设。</w:t>
      </w:r>
    </w:p>
    <w:p>
      <w:pPr>
        <w:ind w:firstLine="56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w:t>
      </w:r>
      <w:r>
        <w:rPr>
          <w:rFonts w:hint="eastAsia" w:ascii="Times New Roman" w:hAnsi="Times New Roman" w:eastAsia="仿宋" w:cs="Times New Roman"/>
          <w:sz w:val="32"/>
          <w:szCs w:val="32"/>
          <w:lang w:eastAsia="zh-CN"/>
        </w:rPr>
        <w:t>领导干部参与率、职工党员参与率、按时参与率、党员参与率。</w:t>
      </w:r>
    </w:p>
    <w:p>
      <w:pPr>
        <w:numPr>
          <w:ilvl w:val="0"/>
          <w:numId w:val="1"/>
        </w:numPr>
        <w:ind w:firstLine="56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1、利用各种有效载体开展宣传教育活动,效果明显;学习制度得到普遍落实，各项活动普遍参加;精神文明创建活动参与广泛，公民道德素质、各项活动满意率明显提高。</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2、指导县直机关共青团组织和妇联组织加强队伍建设，积极开展活动，做好换届工作，充分发挥青年和妇女在经济社会发展及机关党建工作中的作用。</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仿宋" w:cs="Times New Roman"/>
          <w:sz w:val="32"/>
          <w:szCs w:val="32"/>
          <w:lang w:eastAsia="zh-CN"/>
        </w:rPr>
        <w:t>3、做好县直机关党委和纪委负责人任免、考核、培训工作；活跃县直机关文化生活，建好机关党建工作信息平台，加强全县机关党建工作调研交流，做好县直反邪教、维稳和老龄协调工作。</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　　</w:t>
      </w:r>
      <w:r>
        <w:rPr>
          <w:rFonts w:hint="eastAsia" w:ascii="Times New Roman" w:hAnsi="Times New Roman" w:eastAsia="方正仿宋_GBK" w:cs="Times New Roman"/>
          <w:b/>
          <w:sz w:val="32"/>
          <w:szCs w:val="32"/>
        </w:rPr>
        <w:t>第二部分  预算项目绩效目标</w:t>
      </w:r>
    </w:p>
    <w:tbl>
      <w:tblPr>
        <w:tblStyle w:val="9"/>
        <w:tblW w:w="9720" w:type="dxa"/>
        <w:tblInd w:w="0" w:type="dxa"/>
        <w:shd w:val="clear" w:color="auto" w:fill="auto"/>
        <w:tblLayout w:type="fixed"/>
        <w:tblCellMar>
          <w:top w:w="0" w:type="dxa"/>
          <w:left w:w="0" w:type="dxa"/>
          <w:bottom w:w="0" w:type="dxa"/>
          <w:right w:w="0" w:type="dxa"/>
        </w:tblCellMar>
      </w:tblPr>
      <w:tblGrid>
        <w:gridCol w:w="1080"/>
        <w:gridCol w:w="1650"/>
        <w:gridCol w:w="1046"/>
        <w:gridCol w:w="2092"/>
        <w:gridCol w:w="1047"/>
        <w:gridCol w:w="1057"/>
        <w:gridCol w:w="1054"/>
        <w:gridCol w:w="694"/>
      </w:tblGrid>
      <w:tr>
        <w:tblPrEx>
          <w:shd w:val="clear" w:color="auto" w:fill="auto"/>
          <w:tblLayout w:type="fixed"/>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31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6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Layout w:type="fixed"/>
          <w:tblCellMar>
            <w:top w:w="0" w:type="dxa"/>
            <w:left w:w="0" w:type="dxa"/>
            <w:bottom w:w="0" w:type="dxa"/>
            <w:right w:w="0" w:type="dxa"/>
          </w:tblCellMar>
        </w:tblPrEx>
        <w:trPr>
          <w:trHeight w:val="45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0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6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Layout w:type="fixed"/>
          <w:tblCellMar>
            <w:top w:w="0" w:type="dxa"/>
            <w:left w:w="0" w:type="dxa"/>
            <w:bottom w:w="0" w:type="dxa"/>
            <w:right w:w="0" w:type="dxa"/>
          </w:tblCellMar>
        </w:tblPrEx>
        <w:trPr>
          <w:trHeight w:val="45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领导干部参与率</w:t>
            </w: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领导干部参加思想学习</w:t>
            </w: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90</w:t>
            </w:r>
            <w:r>
              <w:rPr>
                <w:rFonts w:hint="eastAsia" w:ascii="宋体" w:hAnsi="宋体" w:eastAsia="宋体" w:cs="宋体"/>
                <w:i w:val="0"/>
                <w:color w:val="000000"/>
                <w:kern w:val="0"/>
                <w:sz w:val="18"/>
                <w:szCs w:val="18"/>
                <w:u w:val="none"/>
                <w:lang w:val="en-US" w:eastAsia="zh-CN" w:bidi="ar"/>
              </w:rPr>
              <w:t>.00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单位年度计划</w:t>
            </w:r>
          </w:p>
        </w:tc>
      </w:tr>
      <w:tr>
        <w:tblPrEx>
          <w:tblLayout w:type="fixed"/>
          <w:tblCellMar>
            <w:top w:w="0" w:type="dxa"/>
            <w:left w:w="0" w:type="dxa"/>
            <w:bottom w:w="0" w:type="dxa"/>
            <w:right w:w="0" w:type="dxa"/>
          </w:tblCellMar>
        </w:tblPrEx>
        <w:trPr>
          <w:trHeight w:val="45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质量</w:t>
            </w:r>
            <w:r>
              <w:rPr>
                <w:rFonts w:hint="eastAsia" w:ascii="宋体" w:hAnsi="宋体" w:eastAsia="宋体" w:cs="宋体"/>
                <w:i w:val="0"/>
                <w:color w:val="000000"/>
                <w:kern w:val="0"/>
                <w:sz w:val="18"/>
                <w:szCs w:val="18"/>
                <w:u w:val="none"/>
                <w:lang w:val="en-US" w:eastAsia="zh-CN" w:bidi="ar"/>
              </w:rPr>
              <w:t>指标</w:t>
            </w: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干部职工参与率</w:t>
            </w: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干部职工参加思想学习情况</w:t>
            </w: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90</w:t>
            </w:r>
            <w:r>
              <w:rPr>
                <w:rFonts w:hint="eastAsia" w:ascii="宋体" w:hAnsi="宋体" w:eastAsia="宋体" w:cs="宋体"/>
                <w:i w:val="0"/>
                <w:color w:val="000000"/>
                <w:kern w:val="0"/>
                <w:sz w:val="18"/>
                <w:szCs w:val="18"/>
                <w:u w:val="none"/>
                <w:lang w:val="en-US" w:eastAsia="zh-CN" w:bidi="ar"/>
              </w:rPr>
              <w:t>.00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单位年度计划</w:t>
            </w:r>
          </w:p>
        </w:tc>
      </w:tr>
      <w:tr>
        <w:tblPrEx>
          <w:tblLayout w:type="fixed"/>
          <w:tblCellMar>
            <w:top w:w="0" w:type="dxa"/>
            <w:left w:w="0" w:type="dxa"/>
            <w:bottom w:w="0" w:type="dxa"/>
            <w:right w:w="0" w:type="dxa"/>
          </w:tblCellMar>
        </w:tblPrEx>
        <w:trPr>
          <w:trHeight w:val="51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时效指标</w:t>
            </w:r>
          </w:p>
        </w:tc>
        <w:tc>
          <w:tcPr>
            <w:tcW w:w="1046"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按时参与率</w:t>
            </w:r>
          </w:p>
        </w:tc>
        <w:tc>
          <w:tcPr>
            <w:tcW w:w="2092"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按时参加思想学习</w:t>
            </w:r>
          </w:p>
        </w:tc>
        <w:tc>
          <w:tcPr>
            <w:tcW w:w="1047"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57"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90</w:t>
            </w:r>
            <w:r>
              <w:rPr>
                <w:rFonts w:hint="eastAsia" w:ascii="宋体" w:hAnsi="宋体" w:eastAsia="宋体" w:cs="宋体"/>
                <w:i w:val="0"/>
                <w:color w:val="000000"/>
                <w:kern w:val="0"/>
                <w:sz w:val="18"/>
                <w:szCs w:val="18"/>
                <w:u w:val="none"/>
                <w:lang w:val="en-US" w:eastAsia="zh-CN" w:bidi="ar"/>
              </w:rPr>
              <w:t>.00</w:t>
            </w:r>
          </w:p>
        </w:tc>
        <w:tc>
          <w:tcPr>
            <w:tcW w:w="1054"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94"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单位年度计划</w:t>
            </w:r>
          </w:p>
        </w:tc>
      </w:tr>
      <w:tr>
        <w:tblPrEx>
          <w:tblLayout w:type="fixed"/>
          <w:tblCellMar>
            <w:top w:w="0" w:type="dxa"/>
            <w:left w:w="0" w:type="dxa"/>
            <w:bottom w:w="0" w:type="dxa"/>
            <w:right w:w="0" w:type="dxa"/>
          </w:tblCellMar>
        </w:tblPrEx>
        <w:trPr>
          <w:trHeight w:val="542" w:hRule="atLeast"/>
        </w:trPr>
        <w:tc>
          <w:tcPr>
            <w:tcW w:w="1080" w:type="dxa"/>
            <w:vMerge w:val="continue"/>
            <w:tcBorders>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成本指标</w:t>
            </w:r>
          </w:p>
        </w:tc>
        <w:tc>
          <w:tcPr>
            <w:tcW w:w="1046"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r>
              <w:rPr>
                <w:rFonts w:hint="eastAsia" w:ascii="宋体" w:hAnsi="宋体" w:cs="宋体"/>
                <w:i w:val="0"/>
                <w:color w:val="000000"/>
                <w:sz w:val="18"/>
                <w:szCs w:val="18"/>
                <w:u w:val="none"/>
                <w:lang w:eastAsia="zh-CN"/>
              </w:rPr>
              <w:t>党员参与率</w:t>
            </w:r>
          </w:p>
        </w:tc>
        <w:tc>
          <w:tcPr>
            <w:tcW w:w="2092"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党员干部参加政治思想学习</w:t>
            </w:r>
          </w:p>
        </w:tc>
        <w:tc>
          <w:tcPr>
            <w:tcW w:w="104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5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90</w:t>
            </w:r>
            <w:r>
              <w:rPr>
                <w:rFonts w:hint="eastAsia" w:ascii="宋体" w:hAnsi="宋体" w:eastAsia="宋体" w:cs="宋体"/>
                <w:i w:val="0"/>
                <w:color w:val="000000"/>
                <w:kern w:val="0"/>
                <w:sz w:val="18"/>
                <w:szCs w:val="18"/>
                <w:u w:val="none"/>
                <w:lang w:val="en-US" w:eastAsia="zh-CN" w:bidi="ar"/>
              </w:rPr>
              <w:t>.00</w:t>
            </w:r>
          </w:p>
        </w:tc>
        <w:tc>
          <w:tcPr>
            <w:tcW w:w="105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9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单位年度计划</w:t>
            </w:r>
          </w:p>
        </w:tc>
      </w:tr>
      <w:tr>
        <w:tblPrEx>
          <w:tblLayout w:type="fixed"/>
          <w:tblCellMar>
            <w:top w:w="0" w:type="dxa"/>
            <w:left w:w="0" w:type="dxa"/>
            <w:bottom w:w="0" w:type="dxa"/>
            <w:right w:w="0" w:type="dxa"/>
          </w:tblCellMar>
        </w:tblPrEx>
        <w:trPr>
          <w:trHeight w:val="45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基层党建工作完成率</w:t>
            </w: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基层党组织健全有活力</w:t>
            </w: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r>
              <w:rPr>
                <w:rFonts w:hint="eastAsia" w:ascii="宋体" w:hAnsi="宋体" w:cs="宋体"/>
                <w:i w:val="0"/>
                <w:color w:val="000000"/>
                <w:kern w:val="0"/>
                <w:sz w:val="18"/>
                <w:szCs w:val="18"/>
                <w:u w:val="none"/>
                <w:lang w:val="en-US" w:eastAsia="zh-CN" w:bidi="ar"/>
              </w:rPr>
              <w:t>0</w:t>
            </w:r>
            <w:r>
              <w:rPr>
                <w:rFonts w:hint="eastAsia" w:ascii="宋体" w:hAnsi="宋体" w:eastAsia="宋体" w:cs="宋体"/>
                <w:i w:val="0"/>
                <w:color w:val="000000"/>
                <w:kern w:val="0"/>
                <w:sz w:val="18"/>
                <w:szCs w:val="18"/>
                <w:u w:val="none"/>
                <w:lang w:val="en-US" w:eastAsia="zh-CN" w:bidi="ar"/>
              </w:rPr>
              <w:t>.00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单位年度计划</w:t>
            </w:r>
          </w:p>
        </w:tc>
      </w:tr>
      <w:tr>
        <w:tblPrEx>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5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党员满意度</w:t>
            </w: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党员满意数量占总数的比例。</w:t>
            </w: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r>
              <w:rPr>
                <w:rFonts w:hint="eastAsia" w:ascii="宋体" w:hAnsi="宋体" w:cs="宋体"/>
                <w:i w:val="0"/>
                <w:color w:val="000000"/>
                <w:kern w:val="0"/>
                <w:sz w:val="18"/>
                <w:szCs w:val="18"/>
                <w:u w:val="none"/>
                <w:lang w:val="en-US" w:eastAsia="zh-CN" w:bidi="ar"/>
              </w:rPr>
              <w:t>0</w:t>
            </w:r>
            <w:r>
              <w:rPr>
                <w:rFonts w:hint="eastAsia" w:ascii="宋体" w:hAnsi="宋体" w:eastAsia="宋体" w:cs="宋体"/>
                <w:i w:val="0"/>
                <w:color w:val="000000"/>
                <w:kern w:val="0"/>
                <w:sz w:val="18"/>
                <w:szCs w:val="18"/>
                <w:u w:val="none"/>
                <w:lang w:val="en-US" w:eastAsia="zh-CN" w:bidi="ar"/>
              </w:rPr>
              <w:t>.00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单位年度计划</w:t>
            </w:r>
          </w:p>
        </w:tc>
      </w:tr>
      <w:tr>
        <w:tblPrEx>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numPr>
          <w:ilvl w:val="0"/>
          <w:numId w:val="0"/>
        </w:numPr>
        <w:rPr>
          <w:rFonts w:hint="eastAsia" w:ascii="Times New Roman" w:hAnsi="Times New Roman" w:eastAsia="方正仿宋_GBK" w:cs="Times New Roman"/>
          <w:b/>
          <w:sz w:val="32"/>
          <w:szCs w:val="32"/>
          <w:lang w:eastAsia="zh-CN"/>
        </w:r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lang w:val="en-US" w:eastAsia="zh-CN"/>
        </w:rPr>
        <w:t>21</w:t>
      </w:r>
      <w:r>
        <w:rPr>
          <w:rFonts w:hint="eastAsia" w:ascii="Times New Roman" w:hAnsi="Times New Roman" w:eastAsia="仿宋" w:cs="Times New Roman"/>
          <w:sz w:val="32"/>
          <w:szCs w:val="24"/>
        </w:rPr>
        <w:t>年，我部门安排政府采购预算</w:t>
      </w:r>
      <w:r>
        <w:rPr>
          <w:rFonts w:hint="eastAsia" w:ascii="Times New Roman" w:hAnsi="Times New Roman" w:eastAsia="仿宋" w:cs="Times New Roman"/>
          <w:sz w:val="32"/>
          <w:szCs w:val="24"/>
          <w:lang w:val="en-US" w:eastAsia="zh-CN"/>
        </w:rPr>
        <w:t>0</w:t>
      </w:r>
      <w:r>
        <w:rPr>
          <w:rFonts w:hint="eastAsia" w:ascii="Times New Roman" w:hAnsi="Times New Roman" w:eastAsia="仿宋" w:cs="Times New Roman"/>
          <w:sz w:val="32"/>
          <w:szCs w:val="24"/>
        </w:rPr>
        <w:t>万元。具体内容见下表。</w:t>
      </w:r>
      <w:bookmarkEnd w:id="2"/>
    </w:p>
    <w:p>
      <w:pPr>
        <w:jc w:val="center"/>
        <w:outlineLvl w:val="0"/>
        <w:rPr>
          <w:rFonts w:hint="eastAsia" w:ascii="方正小标宋_GBK" w:eastAsia="方正小标宋_GBK"/>
          <w:sz w:val="32"/>
        </w:rPr>
      </w:pPr>
      <w:bookmarkStart w:id="3" w:name="_Toc535404684"/>
    </w:p>
    <w:p>
      <w:pPr>
        <w:jc w:val="center"/>
        <w:outlineLvl w:val="0"/>
        <w:rPr>
          <w:rFonts w:hint="eastAsia" w:ascii="方正小标宋_GBK" w:eastAsia="方正小标宋_GBK"/>
          <w:sz w:val="32"/>
        </w:rPr>
      </w:pPr>
    </w:p>
    <w:p>
      <w:pPr>
        <w:jc w:val="center"/>
        <w:outlineLvl w:val="0"/>
        <w:rPr>
          <w:rFonts w:ascii="方正小标宋_GBK" w:eastAsia="方正小标宋_GBK"/>
          <w:sz w:val="32"/>
        </w:rPr>
      </w:pPr>
      <w:r>
        <w:rPr>
          <w:rFonts w:hint="eastAsia" w:ascii="方正小标宋_GBK" w:eastAsia="方正小标宋_GBK"/>
          <w:sz w:val="32"/>
        </w:rPr>
        <w:t>部门政府采购预算</w:t>
      </w:r>
      <w:bookmarkEnd w:id="3"/>
    </w:p>
    <w:tbl>
      <w:tblPr>
        <w:tblStyle w:val="9"/>
        <w:tblW w:w="1186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1"/>
        <w:gridCol w:w="690"/>
        <w:gridCol w:w="1155"/>
        <w:gridCol w:w="990"/>
        <w:gridCol w:w="645"/>
        <w:gridCol w:w="810"/>
        <w:gridCol w:w="825"/>
        <w:gridCol w:w="915"/>
        <w:gridCol w:w="795"/>
        <w:gridCol w:w="720"/>
        <w:gridCol w:w="675"/>
        <w:gridCol w:w="720"/>
        <w:gridCol w:w="600"/>
        <w:gridCol w:w="7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6706"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286</w:t>
            </w:r>
            <w:r>
              <w:rPr>
                <w:rFonts w:hint="eastAsia" w:ascii="方正小标宋_GBK" w:eastAsia="方正小标宋_GBK"/>
                <w:sz w:val="24"/>
              </w:rPr>
              <w:t>隆尧县县直工委</w:t>
            </w:r>
          </w:p>
        </w:tc>
        <w:tc>
          <w:tcPr>
            <w:tcW w:w="5160"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281"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15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90"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45"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数量单位</w:t>
            </w:r>
          </w:p>
        </w:tc>
        <w:tc>
          <w:tcPr>
            <w:tcW w:w="81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2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160"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59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690"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155" w:type="dxa"/>
            <w:vMerge w:val="continue"/>
            <w:vAlign w:val="center"/>
          </w:tcPr>
          <w:p>
            <w:pPr>
              <w:spacing w:line="300" w:lineRule="exact"/>
              <w:jc w:val="left"/>
              <w:outlineLvl w:val="0"/>
            </w:pPr>
          </w:p>
        </w:tc>
        <w:tc>
          <w:tcPr>
            <w:tcW w:w="990" w:type="dxa"/>
            <w:vMerge w:val="continue"/>
            <w:vAlign w:val="center"/>
          </w:tcPr>
          <w:p>
            <w:pPr>
              <w:spacing w:line="300" w:lineRule="exact"/>
              <w:jc w:val="left"/>
              <w:outlineLvl w:val="0"/>
            </w:pPr>
          </w:p>
        </w:tc>
        <w:tc>
          <w:tcPr>
            <w:tcW w:w="645" w:type="dxa"/>
            <w:vMerge w:val="continue"/>
            <w:vAlign w:val="center"/>
          </w:tcPr>
          <w:p>
            <w:pPr>
              <w:spacing w:line="300" w:lineRule="exact"/>
              <w:jc w:val="left"/>
              <w:outlineLvl w:val="0"/>
            </w:pPr>
          </w:p>
        </w:tc>
        <w:tc>
          <w:tcPr>
            <w:tcW w:w="810" w:type="dxa"/>
            <w:vMerge w:val="continue"/>
            <w:vAlign w:val="center"/>
          </w:tcPr>
          <w:p>
            <w:pPr>
              <w:spacing w:line="300" w:lineRule="exact"/>
              <w:jc w:val="left"/>
              <w:outlineLvl w:val="0"/>
            </w:pPr>
          </w:p>
        </w:tc>
        <w:tc>
          <w:tcPr>
            <w:tcW w:w="825" w:type="dxa"/>
            <w:vMerge w:val="continue"/>
            <w:vAlign w:val="center"/>
          </w:tcPr>
          <w:p>
            <w:pPr>
              <w:spacing w:line="300" w:lineRule="exact"/>
              <w:jc w:val="left"/>
              <w:outlineLvl w:val="0"/>
            </w:pP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3510"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735"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591" w:type="dxa"/>
            <w:vMerge w:val="continue"/>
            <w:vAlign w:val="center"/>
          </w:tcPr>
          <w:p>
            <w:pPr>
              <w:spacing w:line="300" w:lineRule="exact"/>
              <w:jc w:val="left"/>
              <w:outlineLvl w:val="0"/>
            </w:pPr>
          </w:p>
        </w:tc>
        <w:tc>
          <w:tcPr>
            <w:tcW w:w="690" w:type="dxa"/>
            <w:vMerge w:val="continue"/>
            <w:vAlign w:val="center"/>
          </w:tcPr>
          <w:p>
            <w:pPr>
              <w:spacing w:line="300" w:lineRule="exact"/>
              <w:jc w:val="left"/>
              <w:outlineLvl w:val="0"/>
            </w:pPr>
          </w:p>
        </w:tc>
        <w:tc>
          <w:tcPr>
            <w:tcW w:w="1155" w:type="dxa"/>
            <w:vMerge w:val="continue"/>
            <w:vAlign w:val="center"/>
          </w:tcPr>
          <w:p>
            <w:pPr>
              <w:spacing w:line="300" w:lineRule="exact"/>
              <w:jc w:val="left"/>
              <w:outlineLvl w:val="0"/>
            </w:pPr>
          </w:p>
        </w:tc>
        <w:tc>
          <w:tcPr>
            <w:tcW w:w="990" w:type="dxa"/>
            <w:vMerge w:val="continue"/>
            <w:vAlign w:val="center"/>
          </w:tcPr>
          <w:p>
            <w:pPr>
              <w:spacing w:line="300" w:lineRule="exact"/>
              <w:jc w:val="left"/>
              <w:outlineLvl w:val="0"/>
            </w:pPr>
          </w:p>
        </w:tc>
        <w:tc>
          <w:tcPr>
            <w:tcW w:w="645" w:type="dxa"/>
            <w:vMerge w:val="continue"/>
            <w:vAlign w:val="center"/>
          </w:tcPr>
          <w:p>
            <w:pPr>
              <w:spacing w:line="300" w:lineRule="exact"/>
              <w:jc w:val="left"/>
              <w:outlineLvl w:val="0"/>
            </w:pPr>
          </w:p>
        </w:tc>
        <w:tc>
          <w:tcPr>
            <w:tcW w:w="810" w:type="dxa"/>
            <w:vMerge w:val="continue"/>
            <w:vAlign w:val="center"/>
          </w:tcPr>
          <w:p>
            <w:pPr>
              <w:spacing w:line="300" w:lineRule="exact"/>
              <w:jc w:val="left"/>
              <w:outlineLvl w:val="0"/>
            </w:pPr>
          </w:p>
        </w:tc>
        <w:tc>
          <w:tcPr>
            <w:tcW w:w="825"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79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20"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675"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2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600"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735"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690" w:type="dxa"/>
            <w:vAlign w:val="center"/>
          </w:tcPr>
          <w:p>
            <w:pPr>
              <w:spacing w:line="300" w:lineRule="exact"/>
              <w:jc w:val="right"/>
              <w:rPr>
                <w:rFonts w:ascii="方正书宋_GBK" w:eastAsia="方正书宋_GBK"/>
                <w:b/>
              </w:rPr>
            </w:pPr>
          </w:p>
        </w:tc>
        <w:tc>
          <w:tcPr>
            <w:tcW w:w="1155" w:type="dxa"/>
            <w:vAlign w:val="center"/>
          </w:tcPr>
          <w:p>
            <w:pPr>
              <w:spacing w:line="300" w:lineRule="exact"/>
              <w:jc w:val="left"/>
              <w:rPr>
                <w:rFonts w:ascii="方正书宋_GBK" w:eastAsia="方正书宋_GBK"/>
                <w:b/>
              </w:rPr>
            </w:pPr>
          </w:p>
        </w:tc>
        <w:tc>
          <w:tcPr>
            <w:tcW w:w="990" w:type="dxa"/>
            <w:vAlign w:val="center"/>
          </w:tcPr>
          <w:p>
            <w:pPr>
              <w:spacing w:line="300" w:lineRule="exact"/>
              <w:jc w:val="left"/>
              <w:rPr>
                <w:rFonts w:ascii="方正书宋_GBK" w:eastAsia="方正书宋_GBK"/>
                <w:b/>
              </w:rPr>
            </w:pPr>
          </w:p>
        </w:tc>
        <w:tc>
          <w:tcPr>
            <w:tcW w:w="645" w:type="dxa"/>
            <w:vAlign w:val="center"/>
          </w:tcPr>
          <w:p>
            <w:pPr>
              <w:spacing w:line="300" w:lineRule="exact"/>
              <w:jc w:val="left"/>
              <w:rPr>
                <w:rFonts w:ascii="方正书宋_GBK" w:eastAsia="方正书宋_GBK"/>
                <w:b/>
              </w:rPr>
            </w:pPr>
          </w:p>
        </w:tc>
        <w:tc>
          <w:tcPr>
            <w:tcW w:w="810" w:type="dxa"/>
            <w:vAlign w:val="center"/>
          </w:tcPr>
          <w:p>
            <w:pPr>
              <w:spacing w:line="300" w:lineRule="exact"/>
              <w:jc w:val="right"/>
              <w:rPr>
                <w:rFonts w:ascii="方正书宋_GBK" w:eastAsia="方正书宋_GBK"/>
                <w:b/>
              </w:rPr>
            </w:pPr>
          </w:p>
        </w:tc>
        <w:tc>
          <w:tcPr>
            <w:tcW w:w="825" w:type="dxa"/>
            <w:vAlign w:val="center"/>
          </w:tcPr>
          <w:p>
            <w:pPr>
              <w:spacing w:line="300" w:lineRule="exact"/>
              <w:jc w:val="right"/>
              <w:rPr>
                <w:rFonts w:ascii="方正书宋_GBK" w:eastAsia="方正书宋_GBK"/>
                <w:b/>
              </w:rPr>
            </w:pPr>
          </w:p>
        </w:tc>
        <w:tc>
          <w:tcPr>
            <w:tcW w:w="915" w:type="dxa"/>
            <w:vAlign w:val="center"/>
          </w:tcPr>
          <w:p>
            <w:pPr>
              <w:spacing w:line="300" w:lineRule="exact"/>
              <w:jc w:val="right"/>
              <w:rPr>
                <w:rFonts w:ascii="方正书宋_GBK" w:eastAsia="方正书宋_GBK"/>
                <w:b/>
              </w:rPr>
            </w:pPr>
          </w:p>
        </w:tc>
        <w:tc>
          <w:tcPr>
            <w:tcW w:w="795" w:type="dxa"/>
            <w:vAlign w:val="center"/>
          </w:tcPr>
          <w:p>
            <w:pPr>
              <w:spacing w:line="300" w:lineRule="exact"/>
              <w:jc w:val="right"/>
              <w:rPr>
                <w:rFonts w:ascii="方正书宋_GBK" w:eastAsia="方正书宋_GBK"/>
                <w:b/>
              </w:rPr>
            </w:pPr>
          </w:p>
        </w:tc>
        <w:tc>
          <w:tcPr>
            <w:tcW w:w="720" w:type="dxa"/>
            <w:vAlign w:val="center"/>
          </w:tcPr>
          <w:p>
            <w:pPr>
              <w:spacing w:line="300" w:lineRule="exact"/>
              <w:jc w:val="right"/>
              <w:rPr>
                <w:rFonts w:ascii="方正书宋_GBK" w:eastAsia="方正书宋_GBK"/>
                <w:b/>
              </w:rPr>
            </w:pPr>
          </w:p>
        </w:tc>
        <w:tc>
          <w:tcPr>
            <w:tcW w:w="675" w:type="dxa"/>
            <w:vAlign w:val="center"/>
          </w:tcPr>
          <w:p>
            <w:pPr>
              <w:spacing w:line="300" w:lineRule="exact"/>
              <w:jc w:val="right"/>
              <w:rPr>
                <w:rFonts w:ascii="方正书宋_GBK" w:eastAsia="方正书宋_GBK"/>
                <w:b/>
              </w:rPr>
            </w:pPr>
          </w:p>
        </w:tc>
        <w:tc>
          <w:tcPr>
            <w:tcW w:w="720" w:type="dxa"/>
            <w:vAlign w:val="center"/>
          </w:tcPr>
          <w:p>
            <w:pPr>
              <w:spacing w:line="300" w:lineRule="exact"/>
              <w:jc w:val="right"/>
              <w:rPr>
                <w:rFonts w:ascii="方正书宋_GBK" w:eastAsia="方正书宋_GBK"/>
                <w:b/>
              </w:rPr>
            </w:pPr>
          </w:p>
        </w:tc>
        <w:tc>
          <w:tcPr>
            <w:tcW w:w="600" w:type="dxa"/>
            <w:vAlign w:val="center"/>
          </w:tcPr>
          <w:p>
            <w:pPr>
              <w:spacing w:line="300" w:lineRule="exact"/>
              <w:jc w:val="right"/>
              <w:rPr>
                <w:rFonts w:ascii="方正书宋_GBK" w:eastAsia="方正书宋_GBK"/>
                <w:b/>
              </w:rPr>
            </w:pPr>
          </w:p>
        </w:tc>
        <w:tc>
          <w:tcPr>
            <w:tcW w:w="735"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vAlign w:val="center"/>
          </w:tcPr>
          <w:p>
            <w:pPr>
              <w:spacing w:line="300" w:lineRule="exact"/>
              <w:jc w:val="center"/>
              <w:rPr>
                <w:rFonts w:ascii="方正书宋_GBK" w:eastAsia="方正书宋_GBK"/>
                <w:b/>
              </w:rPr>
            </w:pPr>
            <w:r>
              <w:rPr>
                <w:rFonts w:hint="eastAsia" w:ascii="方正书宋_GBK" w:eastAsia="方正书宋_GBK"/>
                <w:b/>
              </w:rPr>
              <w:t>隆尧县委县直工委小计</w:t>
            </w:r>
          </w:p>
        </w:tc>
        <w:tc>
          <w:tcPr>
            <w:tcW w:w="690" w:type="dxa"/>
            <w:vAlign w:val="center"/>
          </w:tcPr>
          <w:p>
            <w:pPr>
              <w:spacing w:line="300" w:lineRule="exact"/>
              <w:jc w:val="right"/>
              <w:rPr>
                <w:rFonts w:ascii="方正书宋_GBK" w:eastAsia="方正书宋_GBK"/>
                <w:b/>
              </w:rPr>
            </w:pPr>
          </w:p>
        </w:tc>
        <w:tc>
          <w:tcPr>
            <w:tcW w:w="1155" w:type="dxa"/>
            <w:vAlign w:val="center"/>
          </w:tcPr>
          <w:p>
            <w:pPr>
              <w:spacing w:line="300" w:lineRule="exact"/>
              <w:jc w:val="left"/>
              <w:rPr>
                <w:rFonts w:ascii="方正书宋_GBK" w:eastAsia="方正书宋_GBK"/>
                <w:b/>
              </w:rPr>
            </w:pPr>
          </w:p>
        </w:tc>
        <w:tc>
          <w:tcPr>
            <w:tcW w:w="990" w:type="dxa"/>
            <w:vAlign w:val="center"/>
          </w:tcPr>
          <w:p>
            <w:pPr>
              <w:spacing w:line="300" w:lineRule="exact"/>
              <w:jc w:val="left"/>
              <w:rPr>
                <w:rFonts w:ascii="方正书宋_GBK" w:eastAsia="方正书宋_GBK"/>
                <w:b/>
              </w:rPr>
            </w:pPr>
          </w:p>
        </w:tc>
        <w:tc>
          <w:tcPr>
            <w:tcW w:w="645" w:type="dxa"/>
            <w:vAlign w:val="center"/>
          </w:tcPr>
          <w:p>
            <w:pPr>
              <w:spacing w:line="300" w:lineRule="exact"/>
              <w:jc w:val="left"/>
              <w:rPr>
                <w:rFonts w:ascii="方正书宋_GBK" w:eastAsia="方正书宋_GBK"/>
                <w:b/>
              </w:rPr>
            </w:pPr>
          </w:p>
        </w:tc>
        <w:tc>
          <w:tcPr>
            <w:tcW w:w="810" w:type="dxa"/>
            <w:vAlign w:val="center"/>
          </w:tcPr>
          <w:p>
            <w:pPr>
              <w:spacing w:line="300" w:lineRule="exact"/>
              <w:jc w:val="right"/>
              <w:rPr>
                <w:rFonts w:ascii="方正书宋_GBK" w:eastAsia="方正书宋_GBK"/>
                <w:b/>
              </w:rPr>
            </w:pPr>
          </w:p>
        </w:tc>
        <w:tc>
          <w:tcPr>
            <w:tcW w:w="825" w:type="dxa"/>
            <w:vAlign w:val="center"/>
          </w:tcPr>
          <w:p>
            <w:pPr>
              <w:spacing w:line="300" w:lineRule="exact"/>
              <w:jc w:val="right"/>
              <w:rPr>
                <w:rFonts w:ascii="方正书宋_GBK" w:eastAsia="方正书宋_GBK"/>
                <w:b/>
              </w:rPr>
            </w:pPr>
          </w:p>
        </w:tc>
        <w:tc>
          <w:tcPr>
            <w:tcW w:w="915" w:type="dxa"/>
            <w:vAlign w:val="center"/>
          </w:tcPr>
          <w:p>
            <w:pPr>
              <w:spacing w:line="300" w:lineRule="exact"/>
              <w:jc w:val="right"/>
              <w:rPr>
                <w:rFonts w:ascii="方正书宋_GBK" w:eastAsia="方正书宋_GBK"/>
                <w:b/>
              </w:rPr>
            </w:pPr>
          </w:p>
        </w:tc>
        <w:tc>
          <w:tcPr>
            <w:tcW w:w="795" w:type="dxa"/>
            <w:vAlign w:val="center"/>
          </w:tcPr>
          <w:p>
            <w:pPr>
              <w:spacing w:line="300" w:lineRule="exact"/>
              <w:jc w:val="right"/>
              <w:rPr>
                <w:rFonts w:ascii="方正书宋_GBK" w:eastAsia="方正书宋_GBK"/>
                <w:b/>
              </w:rPr>
            </w:pPr>
          </w:p>
        </w:tc>
        <w:tc>
          <w:tcPr>
            <w:tcW w:w="720" w:type="dxa"/>
            <w:vAlign w:val="center"/>
          </w:tcPr>
          <w:p>
            <w:pPr>
              <w:spacing w:line="300" w:lineRule="exact"/>
              <w:jc w:val="right"/>
              <w:rPr>
                <w:rFonts w:ascii="方正书宋_GBK" w:eastAsia="方正书宋_GBK"/>
                <w:b/>
              </w:rPr>
            </w:pPr>
          </w:p>
        </w:tc>
        <w:tc>
          <w:tcPr>
            <w:tcW w:w="675" w:type="dxa"/>
            <w:vAlign w:val="center"/>
          </w:tcPr>
          <w:p>
            <w:pPr>
              <w:spacing w:line="300" w:lineRule="exact"/>
              <w:jc w:val="right"/>
              <w:rPr>
                <w:rFonts w:ascii="方正书宋_GBK" w:eastAsia="方正书宋_GBK"/>
                <w:b/>
              </w:rPr>
            </w:pPr>
          </w:p>
        </w:tc>
        <w:tc>
          <w:tcPr>
            <w:tcW w:w="720" w:type="dxa"/>
            <w:vAlign w:val="center"/>
          </w:tcPr>
          <w:p>
            <w:pPr>
              <w:spacing w:line="300" w:lineRule="exact"/>
              <w:jc w:val="right"/>
              <w:rPr>
                <w:rFonts w:ascii="方正书宋_GBK" w:eastAsia="方正书宋_GBK"/>
                <w:b/>
              </w:rPr>
            </w:pPr>
          </w:p>
        </w:tc>
        <w:tc>
          <w:tcPr>
            <w:tcW w:w="600" w:type="dxa"/>
            <w:vAlign w:val="center"/>
          </w:tcPr>
          <w:p>
            <w:pPr>
              <w:spacing w:line="300" w:lineRule="exact"/>
              <w:jc w:val="right"/>
              <w:rPr>
                <w:rFonts w:ascii="方正书宋_GBK" w:eastAsia="方正书宋_GBK"/>
                <w:b/>
              </w:rPr>
            </w:pPr>
          </w:p>
        </w:tc>
        <w:tc>
          <w:tcPr>
            <w:tcW w:w="735"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vAlign w:val="center"/>
          </w:tcPr>
          <w:p>
            <w:pPr>
              <w:spacing w:line="300" w:lineRule="exact"/>
              <w:jc w:val="left"/>
              <w:rPr>
                <w:rFonts w:ascii="方正书宋_GBK" w:eastAsia="方正书宋_GBK"/>
              </w:rPr>
            </w:pPr>
          </w:p>
        </w:tc>
        <w:tc>
          <w:tcPr>
            <w:tcW w:w="690" w:type="dxa"/>
            <w:vAlign w:val="center"/>
          </w:tcPr>
          <w:p>
            <w:pPr>
              <w:spacing w:line="300" w:lineRule="exact"/>
              <w:jc w:val="right"/>
              <w:rPr>
                <w:rFonts w:ascii="方正书宋_GBK" w:eastAsia="方正书宋_GBK"/>
              </w:rPr>
            </w:pPr>
          </w:p>
        </w:tc>
        <w:tc>
          <w:tcPr>
            <w:tcW w:w="1155" w:type="dxa"/>
            <w:vAlign w:val="center"/>
          </w:tcPr>
          <w:p>
            <w:pPr>
              <w:spacing w:line="300" w:lineRule="exact"/>
              <w:jc w:val="left"/>
              <w:rPr>
                <w:rFonts w:ascii="方正书宋_GBK" w:eastAsia="方正书宋_GBK"/>
              </w:rPr>
            </w:pPr>
          </w:p>
        </w:tc>
        <w:tc>
          <w:tcPr>
            <w:tcW w:w="990" w:type="dxa"/>
            <w:vAlign w:val="center"/>
          </w:tcPr>
          <w:p>
            <w:pPr>
              <w:spacing w:line="300" w:lineRule="exact"/>
              <w:jc w:val="left"/>
              <w:rPr>
                <w:rFonts w:hint="default" w:ascii="方正书宋_GBK" w:eastAsia="方正书宋_GBK"/>
                <w:lang w:val="en-US" w:eastAsia="zh-CN"/>
              </w:rPr>
            </w:pPr>
          </w:p>
        </w:tc>
        <w:tc>
          <w:tcPr>
            <w:tcW w:w="645" w:type="dxa"/>
            <w:vAlign w:val="center"/>
          </w:tcPr>
          <w:p>
            <w:pPr>
              <w:spacing w:line="300" w:lineRule="exact"/>
              <w:jc w:val="left"/>
              <w:rPr>
                <w:rFonts w:ascii="方正书宋_GBK" w:eastAsia="方正书宋_GBK"/>
              </w:rPr>
            </w:pPr>
          </w:p>
        </w:tc>
        <w:tc>
          <w:tcPr>
            <w:tcW w:w="810" w:type="dxa"/>
            <w:vAlign w:val="center"/>
          </w:tcPr>
          <w:p>
            <w:pPr>
              <w:spacing w:line="300" w:lineRule="exact"/>
              <w:jc w:val="right"/>
              <w:rPr>
                <w:rFonts w:hint="default" w:ascii="方正书宋_GBK" w:eastAsia="方正书宋_GBK"/>
                <w:lang w:val="en-US" w:eastAsia="zh-CN"/>
              </w:rPr>
            </w:pPr>
          </w:p>
        </w:tc>
        <w:tc>
          <w:tcPr>
            <w:tcW w:w="825" w:type="dxa"/>
            <w:vAlign w:val="center"/>
          </w:tcPr>
          <w:p>
            <w:pPr>
              <w:spacing w:line="300" w:lineRule="exact"/>
              <w:jc w:val="center"/>
              <w:rPr>
                <w:rFonts w:hint="default" w:ascii="方正书宋_GBK" w:eastAsia="方正书宋_GBK"/>
                <w:lang w:val="en-US" w:eastAsia="zh-CN"/>
              </w:rPr>
            </w:pPr>
          </w:p>
        </w:tc>
        <w:tc>
          <w:tcPr>
            <w:tcW w:w="915" w:type="dxa"/>
            <w:vAlign w:val="center"/>
          </w:tcPr>
          <w:p>
            <w:pPr>
              <w:spacing w:line="300" w:lineRule="exact"/>
              <w:jc w:val="right"/>
              <w:rPr>
                <w:rFonts w:hint="default" w:ascii="方正书宋_GBK" w:eastAsia="方正书宋_GBK"/>
                <w:lang w:val="en-US" w:eastAsia="zh-CN"/>
              </w:rPr>
            </w:pPr>
          </w:p>
        </w:tc>
        <w:tc>
          <w:tcPr>
            <w:tcW w:w="795" w:type="dxa"/>
            <w:vAlign w:val="center"/>
          </w:tcPr>
          <w:p>
            <w:pPr>
              <w:spacing w:line="300" w:lineRule="exact"/>
              <w:jc w:val="center"/>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tcPr>
          <w:p/>
        </w:tc>
        <w:tc>
          <w:tcPr>
            <w:tcW w:w="690" w:type="dxa"/>
            <w:vAlign w:val="center"/>
          </w:tcPr>
          <w:p>
            <w:pPr>
              <w:spacing w:line="300" w:lineRule="exact"/>
              <w:jc w:val="right"/>
              <w:rPr>
                <w:rFonts w:ascii="方正书宋_GBK" w:eastAsia="方正书宋_GBK"/>
              </w:rPr>
            </w:pPr>
          </w:p>
        </w:tc>
        <w:tc>
          <w:tcPr>
            <w:tcW w:w="1155" w:type="dxa"/>
            <w:vAlign w:val="center"/>
          </w:tcPr>
          <w:p>
            <w:pPr>
              <w:spacing w:line="300" w:lineRule="exact"/>
              <w:jc w:val="left"/>
              <w:rPr>
                <w:rFonts w:hint="eastAsia" w:ascii="方正书宋_GBK" w:eastAsia="方正书宋_GBK"/>
                <w:lang w:eastAsia="zh-CN"/>
              </w:rPr>
            </w:pPr>
          </w:p>
        </w:tc>
        <w:tc>
          <w:tcPr>
            <w:tcW w:w="990" w:type="dxa"/>
            <w:vAlign w:val="center"/>
          </w:tcPr>
          <w:p>
            <w:pPr>
              <w:spacing w:line="300" w:lineRule="exact"/>
              <w:jc w:val="left"/>
              <w:rPr>
                <w:rFonts w:hint="default" w:ascii="方正书宋_GBK" w:eastAsia="方正书宋_GBK"/>
                <w:lang w:val="en-US" w:eastAsia="zh-CN"/>
              </w:rPr>
            </w:pPr>
          </w:p>
        </w:tc>
        <w:tc>
          <w:tcPr>
            <w:tcW w:w="645" w:type="dxa"/>
            <w:vAlign w:val="center"/>
          </w:tcPr>
          <w:p>
            <w:pPr>
              <w:spacing w:line="300" w:lineRule="exact"/>
              <w:jc w:val="left"/>
              <w:rPr>
                <w:rFonts w:ascii="方正书宋_GBK" w:eastAsia="方正书宋_GBK"/>
              </w:rPr>
            </w:pPr>
          </w:p>
        </w:tc>
        <w:tc>
          <w:tcPr>
            <w:tcW w:w="810" w:type="dxa"/>
            <w:vAlign w:val="center"/>
          </w:tcPr>
          <w:p>
            <w:pPr>
              <w:spacing w:line="300" w:lineRule="exact"/>
              <w:jc w:val="right"/>
              <w:rPr>
                <w:rFonts w:hint="default" w:ascii="方正书宋_GBK" w:eastAsia="方正书宋_GBK"/>
                <w:lang w:val="en-US" w:eastAsia="zh-CN"/>
              </w:rPr>
            </w:pPr>
          </w:p>
        </w:tc>
        <w:tc>
          <w:tcPr>
            <w:tcW w:w="825" w:type="dxa"/>
            <w:vAlign w:val="center"/>
          </w:tcPr>
          <w:p>
            <w:pPr>
              <w:spacing w:line="300" w:lineRule="exact"/>
              <w:jc w:val="right"/>
              <w:rPr>
                <w:rFonts w:hint="default" w:ascii="方正书宋_GBK" w:eastAsia="方正书宋_GBK"/>
                <w:lang w:val="en-US" w:eastAsia="zh-CN"/>
              </w:rPr>
            </w:pPr>
          </w:p>
        </w:tc>
        <w:tc>
          <w:tcPr>
            <w:tcW w:w="915" w:type="dxa"/>
            <w:vAlign w:val="center"/>
          </w:tcPr>
          <w:p>
            <w:pPr>
              <w:spacing w:line="300" w:lineRule="exact"/>
              <w:jc w:val="right"/>
              <w:rPr>
                <w:rFonts w:hint="default" w:ascii="方正书宋_GBK" w:eastAsia="方正书宋_GBK"/>
                <w:lang w:val="en-US" w:eastAsia="zh-CN"/>
              </w:rPr>
            </w:pPr>
          </w:p>
        </w:tc>
        <w:tc>
          <w:tcPr>
            <w:tcW w:w="795" w:type="dxa"/>
            <w:vAlign w:val="center"/>
          </w:tcPr>
          <w:p>
            <w:pPr>
              <w:spacing w:line="300" w:lineRule="exact"/>
              <w:jc w:val="center"/>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tcPr>
          <w:p/>
        </w:tc>
        <w:tc>
          <w:tcPr>
            <w:tcW w:w="690" w:type="dxa"/>
            <w:vAlign w:val="center"/>
          </w:tcPr>
          <w:p>
            <w:pPr>
              <w:spacing w:line="300" w:lineRule="exact"/>
              <w:jc w:val="right"/>
              <w:rPr>
                <w:rFonts w:ascii="方正书宋_GBK" w:eastAsia="方正书宋_GBK"/>
              </w:rPr>
            </w:pPr>
          </w:p>
        </w:tc>
        <w:tc>
          <w:tcPr>
            <w:tcW w:w="1155" w:type="dxa"/>
            <w:vAlign w:val="center"/>
          </w:tcPr>
          <w:p>
            <w:pPr>
              <w:spacing w:line="300" w:lineRule="exact"/>
              <w:jc w:val="left"/>
              <w:rPr>
                <w:rFonts w:ascii="方正书宋_GBK" w:eastAsia="方正书宋_GBK"/>
              </w:rPr>
            </w:pPr>
          </w:p>
        </w:tc>
        <w:tc>
          <w:tcPr>
            <w:tcW w:w="990" w:type="dxa"/>
            <w:vAlign w:val="center"/>
          </w:tcPr>
          <w:p>
            <w:pPr>
              <w:spacing w:line="300" w:lineRule="exact"/>
              <w:jc w:val="left"/>
              <w:rPr>
                <w:rFonts w:ascii="方正书宋_GBK" w:eastAsia="方正书宋_GBK"/>
              </w:rPr>
            </w:pPr>
          </w:p>
        </w:tc>
        <w:tc>
          <w:tcPr>
            <w:tcW w:w="645" w:type="dxa"/>
            <w:vAlign w:val="center"/>
          </w:tcPr>
          <w:p>
            <w:pPr>
              <w:spacing w:line="300" w:lineRule="exact"/>
              <w:jc w:val="left"/>
              <w:rPr>
                <w:rFonts w:ascii="方正书宋_GBK" w:eastAsia="方正书宋_GBK"/>
              </w:rPr>
            </w:pPr>
          </w:p>
        </w:tc>
        <w:tc>
          <w:tcPr>
            <w:tcW w:w="810" w:type="dxa"/>
            <w:vAlign w:val="center"/>
          </w:tcPr>
          <w:p>
            <w:pPr>
              <w:spacing w:line="300" w:lineRule="exact"/>
              <w:jc w:val="right"/>
              <w:rPr>
                <w:rFonts w:ascii="方正书宋_GBK" w:eastAsia="方正书宋_GBK"/>
              </w:rPr>
            </w:pPr>
          </w:p>
        </w:tc>
        <w:tc>
          <w:tcPr>
            <w:tcW w:w="825" w:type="dxa"/>
            <w:vAlign w:val="center"/>
          </w:tcPr>
          <w:p>
            <w:pPr>
              <w:spacing w:line="300" w:lineRule="exact"/>
              <w:jc w:val="center"/>
              <w:rPr>
                <w:rFonts w:ascii="方正书宋_GBK" w:eastAsia="方正书宋_GBK"/>
              </w:rPr>
            </w:pPr>
          </w:p>
        </w:tc>
        <w:tc>
          <w:tcPr>
            <w:tcW w:w="915" w:type="dxa"/>
            <w:vAlign w:val="center"/>
          </w:tcPr>
          <w:p>
            <w:pPr>
              <w:spacing w:line="300" w:lineRule="exact"/>
              <w:jc w:val="right"/>
              <w:rPr>
                <w:rFonts w:ascii="方正书宋_GBK" w:eastAsia="方正书宋_GBK"/>
              </w:rPr>
            </w:pPr>
          </w:p>
        </w:tc>
        <w:tc>
          <w:tcPr>
            <w:tcW w:w="795" w:type="dxa"/>
            <w:vAlign w:val="center"/>
          </w:tcPr>
          <w:p>
            <w:pPr>
              <w:spacing w:line="300" w:lineRule="exact"/>
              <w:jc w:val="right"/>
              <w:rPr>
                <w:rFonts w:ascii="方正书宋_GBK" w:eastAsia="方正书宋_GBK"/>
              </w:rPr>
            </w:pPr>
          </w:p>
        </w:tc>
        <w:tc>
          <w:tcPr>
            <w:tcW w:w="720" w:type="dxa"/>
            <w:vAlign w:val="center"/>
          </w:tcPr>
          <w:p>
            <w:pPr>
              <w:spacing w:line="300" w:lineRule="exact"/>
              <w:jc w:val="center"/>
              <w:rPr>
                <w:rFonts w:ascii="方正书宋_GBK" w:eastAsia="方正书宋_GBK"/>
              </w:rPr>
            </w:pP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tcPr>
          <w:p/>
        </w:tc>
        <w:tc>
          <w:tcPr>
            <w:tcW w:w="690" w:type="dxa"/>
            <w:vAlign w:val="center"/>
          </w:tcPr>
          <w:p>
            <w:pPr>
              <w:spacing w:line="300" w:lineRule="exact"/>
              <w:jc w:val="right"/>
              <w:rPr>
                <w:rFonts w:ascii="方正书宋_GBK" w:eastAsia="方正书宋_GBK"/>
              </w:rPr>
            </w:pPr>
          </w:p>
        </w:tc>
        <w:tc>
          <w:tcPr>
            <w:tcW w:w="1155" w:type="dxa"/>
            <w:vAlign w:val="center"/>
          </w:tcPr>
          <w:p>
            <w:pPr>
              <w:spacing w:line="300" w:lineRule="exact"/>
              <w:jc w:val="left"/>
              <w:rPr>
                <w:rFonts w:ascii="方正书宋_GBK" w:eastAsia="方正书宋_GBK"/>
              </w:rPr>
            </w:pPr>
          </w:p>
        </w:tc>
        <w:tc>
          <w:tcPr>
            <w:tcW w:w="990" w:type="dxa"/>
            <w:vAlign w:val="center"/>
          </w:tcPr>
          <w:p>
            <w:pPr>
              <w:spacing w:line="300" w:lineRule="exact"/>
              <w:jc w:val="left"/>
              <w:rPr>
                <w:rFonts w:ascii="方正书宋_GBK" w:eastAsia="方正书宋_GBK"/>
              </w:rPr>
            </w:pPr>
          </w:p>
        </w:tc>
        <w:tc>
          <w:tcPr>
            <w:tcW w:w="645" w:type="dxa"/>
            <w:vAlign w:val="center"/>
          </w:tcPr>
          <w:p>
            <w:pPr>
              <w:spacing w:line="300" w:lineRule="exact"/>
              <w:jc w:val="left"/>
              <w:rPr>
                <w:rFonts w:ascii="方正书宋_GBK" w:eastAsia="方正书宋_GBK"/>
              </w:rPr>
            </w:pPr>
          </w:p>
        </w:tc>
        <w:tc>
          <w:tcPr>
            <w:tcW w:w="810" w:type="dxa"/>
            <w:vAlign w:val="center"/>
          </w:tcPr>
          <w:p>
            <w:pPr>
              <w:spacing w:line="300" w:lineRule="exact"/>
              <w:jc w:val="right"/>
              <w:rPr>
                <w:rFonts w:hint="eastAsia" w:ascii="方正书宋_GBK" w:eastAsia="方正书宋_GBK"/>
                <w:lang w:val="en-US" w:eastAsia="zh-CN"/>
              </w:rPr>
            </w:pPr>
          </w:p>
        </w:tc>
        <w:tc>
          <w:tcPr>
            <w:tcW w:w="825" w:type="dxa"/>
            <w:vAlign w:val="center"/>
          </w:tcPr>
          <w:p>
            <w:pPr>
              <w:spacing w:line="300" w:lineRule="exact"/>
              <w:jc w:val="right"/>
              <w:rPr>
                <w:rFonts w:hint="eastAsia" w:ascii="方正书宋_GBK" w:eastAsia="方正书宋_GBK"/>
                <w:lang w:val="en-US" w:eastAsia="zh-CN"/>
              </w:rPr>
            </w:pPr>
          </w:p>
        </w:tc>
        <w:tc>
          <w:tcPr>
            <w:tcW w:w="915" w:type="dxa"/>
            <w:vAlign w:val="center"/>
          </w:tcPr>
          <w:p>
            <w:pPr>
              <w:spacing w:line="300" w:lineRule="exact"/>
              <w:jc w:val="right"/>
              <w:rPr>
                <w:rFonts w:ascii="方正书宋_GBK" w:eastAsia="方正书宋_GBK"/>
              </w:rPr>
            </w:pPr>
          </w:p>
        </w:tc>
        <w:tc>
          <w:tcPr>
            <w:tcW w:w="79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bl>
    <w:p>
      <w:pPr>
        <w:spacing w:line="300" w:lineRule="exact"/>
        <w:jc w:val="left"/>
        <w:outlineLvl w:val="0"/>
        <w:sectPr>
          <w:pgSz w:w="11907" w:h="16839"/>
          <w:pgMar w:top="1020" w:right="1361" w:bottom="1020" w:left="136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tbl>
      <w:tblPr>
        <w:tblStyle w:val="9"/>
        <w:tblpPr w:leftFromText="180" w:rightFromText="180" w:vertAnchor="text" w:horzAnchor="page" w:tblpX="1947" w:tblpY="2429"/>
        <w:tblOverlap w:val="never"/>
        <w:tblW w:w="9510" w:type="dxa"/>
        <w:tblInd w:w="0" w:type="dxa"/>
        <w:tblLayout w:type="fixed"/>
        <w:tblCellMar>
          <w:top w:w="0" w:type="dxa"/>
          <w:left w:w="108" w:type="dxa"/>
          <w:bottom w:w="0" w:type="dxa"/>
          <w:right w:w="108" w:type="dxa"/>
        </w:tblCellMar>
      </w:tblPr>
      <w:tblGrid>
        <w:gridCol w:w="2768"/>
        <w:gridCol w:w="2415"/>
        <w:gridCol w:w="4327"/>
      </w:tblGrid>
      <w:tr>
        <w:tblPrEx>
          <w:tblLayout w:type="fixed"/>
          <w:tblCellMar>
            <w:top w:w="0" w:type="dxa"/>
            <w:left w:w="108" w:type="dxa"/>
            <w:bottom w:w="0" w:type="dxa"/>
            <w:right w:w="108" w:type="dxa"/>
          </w:tblCellMar>
        </w:tblPrEx>
        <w:trPr>
          <w:trHeight w:val="705" w:hRule="atLeast"/>
        </w:trPr>
        <w:tc>
          <w:tcPr>
            <w:tcW w:w="9510"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隆尧县县直工委部门固定资产占用情况表</w:t>
            </w:r>
          </w:p>
        </w:tc>
      </w:tr>
      <w:tr>
        <w:tblPrEx>
          <w:tblLayout w:type="fixed"/>
          <w:tblCellMar>
            <w:top w:w="0" w:type="dxa"/>
            <w:left w:w="108" w:type="dxa"/>
            <w:bottom w:w="0" w:type="dxa"/>
            <w:right w:w="108" w:type="dxa"/>
          </w:tblCellMar>
        </w:tblPrEx>
        <w:trPr>
          <w:trHeight w:val="510" w:hRule="atLeast"/>
        </w:trPr>
        <w:tc>
          <w:tcPr>
            <w:tcW w:w="5183"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编制部门：隆尧县县直工委</w:t>
            </w:r>
          </w:p>
        </w:tc>
        <w:tc>
          <w:tcPr>
            <w:tcW w:w="4327"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w:t>
            </w:r>
            <w:r>
              <w:rPr>
                <w:rFonts w:hint="eastAsia" w:ascii="Times New Roman" w:hAnsi="Times New Roman" w:eastAsia="仿宋" w:cs="Times New Roman"/>
                <w:kern w:val="0"/>
                <w:sz w:val="22"/>
                <w:lang w:val="en-US" w:eastAsia="zh-CN"/>
              </w:rPr>
              <w:t>20</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Layout w:type="fixed"/>
          <w:tblCellMar>
            <w:top w:w="0" w:type="dxa"/>
            <w:left w:w="108" w:type="dxa"/>
            <w:bottom w:w="0" w:type="dxa"/>
            <w:right w:w="108" w:type="dxa"/>
          </w:tblCellMar>
        </w:tblPrEx>
        <w:trPr>
          <w:trHeight w:val="645" w:hRule="atLeast"/>
        </w:trPr>
        <w:tc>
          <w:tcPr>
            <w:tcW w:w="276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241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4327"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241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14</w:t>
            </w:r>
          </w:p>
        </w:tc>
        <w:tc>
          <w:tcPr>
            <w:tcW w:w="4327"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3.40</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241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rPr>
            </w:pPr>
            <w:r>
              <w:rPr>
                <w:rFonts w:hint="eastAsia" w:ascii="Times New Roman" w:hAnsi="Times New Roman" w:eastAsia="仿宋" w:cs="Times New Roman"/>
                <w:kern w:val="0"/>
                <w:sz w:val="22"/>
                <w:lang w:val="en-US" w:eastAsia="zh-CN"/>
              </w:rPr>
              <w:t>14</w:t>
            </w:r>
          </w:p>
        </w:tc>
        <w:tc>
          <w:tcPr>
            <w:tcW w:w="4327"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3.40</w:t>
            </w:r>
          </w:p>
        </w:tc>
      </w:tr>
    </w:tbl>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隆尧县县直工委</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3.40</w:t>
      </w:r>
      <w:r>
        <w:rPr>
          <w:rFonts w:hint="eastAsia" w:ascii="Times New Roman" w:hAnsi="Times New Roman" w:eastAsia="仿宋" w:cs="Times New Roman"/>
          <w:color w:val="000000"/>
          <w:sz w:val="32"/>
          <w:szCs w:val="32"/>
        </w:rPr>
        <w:t>万元（详见下表），主要为计算机，本年度拟购置固定资产总额为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rPr>
        <w:t>万元。</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42411A"/>
    <w:multiLevelType w:val="singleLevel"/>
    <w:tmpl w:val="7642411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7CC4"/>
    <w:rsid w:val="0000235E"/>
    <w:rsid w:val="001635EB"/>
    <w:rsid w:val="001B2A5E"/>
    <w:rsid w:val="00296FC8"/>
    <w:rsid w:val="002C5DD7"/>
    <w:rsid w:val="002D3CC9"/>
    <w:rsid w:val="0030312B"/>
    <w:rsid w:val="003204E6"/>
    <w:rsid w:val="00385B34"/>
    <w:rsid w:val="003F4292"/>
    <w:rsid w:val="003F7A4F"/>
    <w:rsid w:val="0046545D"/>
    <w:rsid w:val="0049793F"/>
    <w:rsid w:val="004B3D0E"/>
    <w:rsid w:val="004B4BB8"/>
    <w:rsid w:val="00514243"/>
    <w:rsid w:val="006A209F"/>
    <w:rsid w:val="0071575B"/>
    <w:rsid w:val="00742FF8"/>
    <w:rsid w:val="00781A03"/>
    <w:rsid w:val="007941F0"/>
    <w:rsid w:val="00862EA1"/>
    <w:rsid w:val="008C6240"/>
    <w:rsid w:val="00A5050A"/>
    <w:rsid w:val="00A82307"/>
    <w:rsid w:val="00B76F6F"/>
    <w:rsid w:val="00BA1C41"/>
    <w:rsid w:val="00C07359"/>
    <w:rsid w:val="00C40AA4"/>
    <w:rsid w:val="00C67CC4"/>
    <w:rsid w:val="00CC38AA"/>
    <w:rsid w:val="00DC58B1"/>
    <w:rsid w:val="00E514C0"/>
    <w:rsid w:val="00E83688"/>
    <w:rsid w:val="00EC3709"/>
    <w:rsid w:val="00F73D27"/>
    <w:rsid w:val="02D17B65"/>
    <w:rsid w:val="0FBF1237"/>
    <w:rsid w:val="138035ED"/>
    <w:rsid w:val="14D37E28"/>
    <w:rsid w:val="16D75C17"/>
    <w:rsid w:val="1CA16B12"/>
    <w:rsid w:val="1DDA655A"/>
    <w:rsid w:val="277A4492"/>
    <w:rsid w:val="2DAD756C"/>
    <w:rsid w:val="2E7A5437"/>
    <w:rsid w:val="2FFD41C1"/>
    <w:rsid w:val="54BB4BB2"/>
    <w:rsid w:val="5EBF5763"/>
    <w:rsid w:val="61322CC7"/>
    <w:rsid w:val="67F40C62"/>
    <w:rsid w:val="70707E90"/>
    <w:rsid w:val="71C42F60"/>
    <w:rsid w:val="7878105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99"/>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2"/>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character" w:styleId="8">
    <w:name w:val="footnote reference"/>
    <w:basedOn w:val="7"/>
    <w:qFormat/>
    <w:uiPriority w:val="99"/>
    <w:rPr>
      <w:rFonts w:cs="Times New Roman"/>
      <w:vertAlign w:val="superscript"/>
    </w:rPr>
  </w:style>
  <w:style w:type="character" w:customStyle="1" w:styleId="10">
    <w:name w:val="Footer Char"/>
    <w:basedOn w:val="7"/>
    <w:link w:val="2"/>
    <w:semiHidden/>
    <w:qFormat/>
    <w:locked/>
    <w:uiPriority w:val="99"/>
    <w:rPr>
      <w:rFonts w:ascii="Times New Roman" w:hAnsi="Times New Roman" w:eastAsia="宋体"/>
      <w:sz w:val="18"/>
    </w:rPr>
  </w:style>
  <w:style w:type="character" w:customStyle="1" w:styleId="11">
    <w:name w:val="Header Char"/>
    <w:basedOn w:val="7"/>
    <w:link w:val="3"/>
    <w:semiHidden/>
    <w:qFormat/>
    <w:locked/>
    <w:uiPriority w:val="99"/>
    <w:rPr>
      <w:rFonts w:ascii="Times New Roman" w:hAnsi="Times New Roman" w:eastAsia="宋体"/>
      <w:sz w:val="18"/>
    </w:rPr>
  </w:style>
  <w:style w:type="character" w:customStyle="1" w:styleId="12">
    <w:name w:val="Footnote Text Char"/>
    <w:basedOn w:val="7"/>
    <w:link w:val="5"/>
    <w:semiHidden/>
    <w:qFormat/>
    <w:uiPriority w:val="99"/>
    <w:rPr>
      <w:rFonts w:ascii="Calibri" w:hAnsi="Calibri" w:cs="黑体"/>
      <w:sz w:val="18"/>
      <w:szCs w:val="18"/>
    </w:rPr>
  </w:style>
  <w:style w:type="paragraph" w:customStyle="1" w:styleId="13">
    <w:name w:val="Char"/>
    <w:basedOn w:val="1"/>
    <w:qFormat/>
    <w:uiPriority w:val="99"/>
    <w:rPr>
      <w:rFonts w:ascii="Times New Roman" w:hAnsi="Times New Roman" w:cs="Times New Roman"/>
      <w:szCs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11</Pages>
  <Words>625</Words>
  <Characters>3568</Characters>
  <Lines>0</Lines>
  <Paragraphs>0</Paragraphs>
  <TotalTime>4</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2017-02-10T09:57:00Z</cp:lastPrinted>
  <dcterms:modified xsi:type="dcterms:W3CDTF">2022-09-06T08:20:19Z</dcterms:modified>
  <cp:revision>19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