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lang w:eastAsia="zh-CN"/>
        </w:rPr>
        <w:t>中共</w:t>
      </w:r>
      <w:r>
        <w:rPr>
          <w:rFonts w:hint="eastAsia" w:ascii="Times New Roman" w:hAnsi="Times New Roman" w:eastAsia="方正小标宋_GBK" w:cs="方正小标宋_GBK"/>
          <w:sz w:val="44"/>
          <w:szCs w:val="44"/>
        </w:rPr>
        <w:t>隆尧县纪委</w:t>
      </w:r>
      <w:r>
        <w:rPr>
          <w:rFonts w:hint="eastAsia" w:ascii="Times New Roman" w:hAnsi="Times New Roman" w:eastAsia="方正小标宋_GBK" w:cs="Times New Roman"/>
          <w:sz w:val="44"/>
          <w:szCs w:val="44"/>
          <w:lang w:eastAsia="zh-CN"/>
        </w:rPr>
        <w:t>202</w:t>
      </w:r>
      <w:r>
        <w:rPr>
          <w:rFonts w:hint="eastAsia" w:ascii="Times New Roman" w:hAnsi="Times New Roman" w:eastAsia="方正小标宋_GBK" w:cs="Times New Roman"/>
          <w:sz w:val="44"/>
          <w:szCs w:val="44"/>
          <w:lang w:val="en-US" w:eastAsia="zh-CN"/>
        </w:rPr>
        <w:t>1</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ascii="仿宋" w:hAnsi="仿宋" w:eastAsia="仿宋" w:cs="Times New Roman"/>
          <w:sz w:val="32"/>
          <w:szCs w:val="32"/>
        </w:rPr>
      </w:pPr>
      <w:r>
        <w:rPr>
          <w:rFonts w:hint="eastAsia" w:ascii="仿宋" w:hAnsi="仿宋" w:eastAsia="仿宋" w:cs="仿宋"/>
          <w:sz w:val="32"/>
          <w:szCs w:val="32"/>
        </w:rPr>
        <w:t>按照《预算法》、《地方预决算公开操作规程》</w:t>
      </w:r>
      <w:r>
        <w:rPr>
          <w:rFonts w:hint="eastAsia" w:ascii="仿宋" w:hAnsi="仿宋" w:eastAsia="仿宋" w:cs="仿宋"/>
          <w:sz w:val="32"/>
          <w:szCs w:val="32"/>
          <w:lang w:eastAsia="zh-CN"/>
        </w:rPr>
        <w:t>和《河北省省级预算公开办法》</w:t>
      </w:r>
      <w:r>
        <w:rPr>
          <w:rFonts w:hint="eastAsia" w:ascii="仿宋" w:hAnsi="仿宋" w:eastAsia="仿宋" w:cs="仿宋"/>
          <w:sz w:val="32"/>
          <w:szCs w:val="32"/>
        </w:rPr>
        <w:t>规定，现将</w:t>
      </w:r>
      <w:r>
        <w:rPr>
          <w:rFonts w:hint="eastAsia" w:ascii="仿宋" w:hAnsi="仿宋" w:eastAsia="仿宋" w:cs="仿宋"/>
          <w:sz w:val="32"/>
          <w:szCs w:val="32"/>
          <w:lang w:eastAsia="zh-CN"/>
        </w:rPr>
        <w:t>中共</w:t>
      </w:r>
      <w:r>
        <w:rPr>
          <w:rFonts w:hint="eastAsia" w:ascii="仿宋" w:hAnsi="仿宋" w:eastAsia="仿宋" w:cs="仿宋"/>
          <w:sz w:val="32"/>
          <w:szCs w:val="32"/>
        </w:rPr>
        <w:t>隆尧县纪委</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年部门预算公开如下：</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ascii="黑体" w:hAnsi="黑体" w:eastAsia="黑体" w:cs="Times New Roman"/>
          <w:sz w:val="32"/>
          <w:szCs w:val="32"/>
        </w:rPr>
      </w:pPr>
      <w:r>
        <w:rPr>
          <w:rFonts w:hint="eastAsia" w:ascii="黑体" w:hAnsi="黑体" w:eastAsia="黑体" w:cs="黑体"/>
          <w:sz w:val="32"/>
          <w:szCs w:val="32"/>
        </w:rPr>
        <w:t>一、部门职责及机构设置情况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eastAsia" w:ascii="Times New Roman" w:hAnsi="Times New Roman" w:eastAsia="仿宋" w:cs="仿宋"/>
          <w:sz w:val="32"/>
          <w:szCs w:val="32"/>
          <w:lang w:eastAsia="zh-CN"/>
        </w:rPr>
      </w:pPr>
      <w:r>
        <w:rPr>
          <w:rFonts w:hint="eastAsia" w:ascii="仿宋" w:hAnsi="仿宋" w:eastAsia="仿宋" w:cs="仿宋"/>
          <w:b/>
          <w:bCs/>
          <w:sz w:val="32"/>
          <w:szCs w:val="32"/>
        </w:rPr>
        <w:t>部门职责</w:t>
      </w:r>
    </w:p>
    <w:p>
      <w:pPr>
        <w:adjustRightInd w:val="0"/>
        <w:spacing w:line="60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一）负责全县党的纪律检查工作。贯彻落实党中央和省委、市委、县委关于纪律检查工作的决策部署，维护党的章程和其他党内法规，检查党的路线方针政策和决议的执行情况，协助县委推进全面从严治党、加强党风廉政建设和组织协调反腐败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二）依照党的章程和其他党内法规履行监督、执纪、问责职责。负责经常对党员进行遵守纪律的教育，作出关于维护党纪的决定；对县委工作机关、县委批准设立的党组（党委），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（三）支持配合巡视、巡察工作。承担巡视、巡察整改日常监督责任，做好巡视、巡察整改督查督办工作，依规依纪依法处置巡视、巡察移交的反映领导干部问题线索。</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四）负责全县监察工作。贯彻落实党中央和省委、市委、县委关于监察工作的决策部署，维护宪法法律，依法对县委管理的行使公权力的公职人员进行监察，调查职务违法和职务犯罪，开展廉政建设和反腐败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（六）负责组织协调全面从严治党、党风廉政建设和反腐败宣传教育工作。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（七）负责综合分析全面从严治党、党风廉政建设和反腐败工作情况，对纪检监察工作重要理论及实践问题进行调查研究；制定或者修改全县纪检监察法规制度，参与起草有关法规和规范性文件。</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（八）负责组织协调全县反腐败追逃追赃和防逃工作，督促有关单位做好相关工作。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九）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科级及以下干部人事工作。会同有关方面做好县纪委监委派出机构、乡镇纪委领导班子建设有关工作；组织和指导全县纪检监察系统干部教育培训工作等。</w:t>
      </w:r>
    </w:p>
    <w:p>
      <w:pPr>
        <w:adjustRightInd w:val="0"/>
        <w:spacing w:line="600" w:lineRule="exact"/>
        <w:ind w:firstLine="640"/>
        <w:rPr>
          <w:rFonts w:hint="eastAsia" w:ascii="楷体" w:hAnsi="楷体" w:eastAsia="楷体" w:cs="楷体"/>
          <w:sz w:val="32"/>
          <w:szCs w:val="32"/>
        </w:rPr>
      </w:pPr>
      <w:r>
        <w:rPr>
          <w:rFonts w:hint="eastAsia" w:ascii="仿宋_GB2312" w:hAnsi="黑体" w:eastAsia="仿宋_GB2312"/>
          <w:sz w:val="32"/>
          <w:szCs w:val="32"/>
        </w:rPr>
        <w:t>（十）完成市纪委、市监委、县委交办的其他任务。</w:t>
      </w:r>
    </w:p>
    <w:p>
      <w:pPr>
        <w:spacing w:line="500" w:lineRule="exact"/>
        <w:ind w:firstLine="560" w:firstLineChars="200"/>
        <w:jc w:val="left"/>
        <w:outlineLvl w:val="9"/>
        <w:rPr>
          <w:rFonts w:hint="eastAsia" w:ascii="Times New Roman" w:hAnsi="方正仿宋_GBK" w:eastAsia="方正仿宋_GBK" w:cs="方正仿宋_GBK"/>
          <w:sz w:val="28"/>
          <w:u w:val="none"/>
        </w:rPr>
      </w:pPr>
    </w:p>
    <w:p>
      <w:pPr>
        <w:rPr>
          <w:rFonts w:ascii="仿宋" w:hAnsi="仿宋" w:eastAsia="仿宋" w:cs="Times New Roman"/>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tbl>
      <w:tblPr>
        <w:tblStyle w:val="10"/>
        <w:tblW w:w="106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99"/>
        <w:gridCol w:w="1425"/>
        <w:gridCol w:w="1800"/>
        <w:gridCol w:w="2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2" w:hRule="atLeast"/>
          <w:tblHeader/>
          <w:jc w:val="center"/>
        </w:trPr>
        <w:tc>
          <w:tcPr>
            <w:tcW w:w="4699" w:type="dxa"/>
            <w:vMerge w:val="restart"/>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b/>
                <w:bCs/>
                <w:sz w:val="28"/>
                <w:szCs w:val="28"/>
              </w:rPr>
              <w:t>单位名称</w:t>
            </w:r>
          </w:p>
        </w:tc>
        <w:tc>
          <w:tcPr>
            <w:tcW w:w="1425" w:type="dxa"/>
            <w:vMerge w:val="restart"/>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b/>
                <w:bCs/>
                <w:sz w:val="28"/>
                <w:szCs w:val="28"/>
              </w:rPr>
              <w:t>单位性质</w:t>
            </w:r>
          </w:p>
        </w:tc>
        <w:tc>
          <w:tcPr>
            <w:tcW w:w="1800" w:type="dxa"/>
            <w:vMerge w:val="restart"/>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b/>
                <w:bCs/>
                <w:sz w:val="28"/>
                <w:szCs w:val="28"/>
              </w:rPr>
              <w:t>单位规格</w:t>
            </w:r>
          </w:p>
        </w:tc>
        <w:tc>
          <w:tcPr>
            <w:tcW w:w="2692" w:type="dxa"/>
            <w:vMerge w:val="restart"/>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b/>
                <w:bCs/>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2" w:hRule="atLeast"/>
          <w:tblHeader/>
          <w:jc w:val="center"/>
        </w:trPr>
        <w:tc>
          <w:tcPr>
            <w:tcW w:w="4699" w:type="dxa"/>
            <w:vMerge w:val="continue"/>
            <w:vAlign w:val="center"/>
          </w:tcPr>
          <w:p>
            <w:pPr>
              <w:spacing w:line="300" w:lineRule="exact"/>
              <w:jc w:val="left"/>
              <w:outlineLvl w:val="0"/>
              <w:rPr>
                <w:rFonts w:cs="Times New Roman"/>
                <w:sz w:val="28"/>
                <w:szCs w:val="28"/>
              </w:rPr>
            </w:pPr>
          </w:p>
        </w:tc>
        <w:tc>
          <w:tcPr>
            <w:tcW w:w="1425" w:type="dxa"/>
            <w:vMerge w:val="continue"/>
            <w:vAlign w:val="center"/>
          </w:tcPr>
          <w:p>
            <w:pPr>
              <w:spacing w:line="300" w:lineRule="exact"/>
              <w:jc w:val="left"/>
              <w:outlineLvl w:val="0"/>
              <w:rPr>
                <w:rFonts w:cs="Times New Roman"/>
                <w:sz w:val="28"/>
                <w:szCs w:val="28"/>
              </w:rPr>
            </w:pPr>
          </w:p>
        </w:tc>
        <w:tc>
          <w:tcPr>
            <w:tcW w:w="1800" w:type="dxa"/>
            <w:vMerge w:val="continue"/>
            <w:vAlign w:val="center"/>
          </w:tcPr>
          <w:p>
            <w:pPr>
              <w:spacing w:line="300" w:lineRule="exact"/>
              <w:jc w:val="left"/>
              <w:outlineLvl w:val="0"/>
              <w:rPr>
                <w:rFonts w:cs="Times New Roman"/>
                <w:sz w:val="28"/>
                <w:szCs w:val="28"/>
              </w:rPr>
            </w:pPr>
          </w:p>
        </w:tc>
        <w:tc>
          <w:tcPr>
            <w:tcW w:w="2692" w:type="dxa"/>
            <w:vMerge w:val="continue"/>
            <w:vAlign w:val="center"/>
          </w:tcPr>
          <w:p>
            <w:pPr>
              <w:spacing w:line="300" w:lineRule="exact"/>
              <w:jc w:val="left"/>
              <w:outlineLvl w:val="0"/>
              <w:rPr>
                <w:rFonts w:cs="Times New Roman"/>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10" w:hRule="atLeast"/>
          <w:jc w:val="center"/>
        </w:trPr>
        <w:tc>
          <w:tcPr>
            <w:tcW w:w="4699" w:type="dxa"/>
            <w:vAlign w:val="center"/>
          </w:tcPr>
          <w:p>
            <w:pPr>
              <w:spacing w:line="300" w:lineRule="exact"/>
              <w:jc w:val="left"/>
              <w:rPr>
                <w:rFonts w:ascii="方正书宋_GBK" w:eastAsia="方正书宋_GBK" w:cs="Times New Roman"/>
                <w:b/>
                <w:bCs/>
                <w:sz w:val="28"/>
                <w:szCs w:val="28"/>
              </w:rPr>
            </w:pPr>
            <w:r>
              <w:rPr>
                <w:rFonts w:hint="eastAsia" w:ascii="方正书宋_GBK" w:eastAsia="方正书宋_GBK" w:cs="方正书宋_GBK"/>
                <w:sz w:val="28"/>
                <w:szCs w:val="28"/>
              </w:rPr>
              <w:t>中国共产党隆尧县纪律检查委员会</w:t>
            </w:r>
          </w:p>
        </w:tc>
        <w:tc>
          <w:tcPr>
            <w:tcW w:w="1425" w:type="dxa"/>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sz w:val="28"/>
                <w:szCs w:val="28"/>
              </w:rPr>
              <w:t>行政</w:t>
            </w:r>
          </w:p>
        </w:tc>
        <w:tc>
          <w:tcPr>
            <w:tcW w:w="1800" w:type="dxa"/>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sz w:val="28"/>
                <w:szCs w:val="28"/>
              </w:rPr>
              <w:t>正科级</w:t>
            </w:r>
          </w:p>
        </w:tc>
        <w:tc>
          <w:tcPr>
            <w:tcW w:w="2692" w:type="dxa"/>
            <w:vAlign w:val="center"/>
          </w:tcPr>
          <w:p>
            <w:pPr>
              <w:spacing w:line="300" w:lineRule="exact"/>
              <w:jc w:val="center"/>
              <w:rPr>
                <w:rFonts w:hint="eastAsia" w:ascii="方正书宋_GBK" w:eastAsia="方正书宋_GBK" w:cs="Times New Roman"/>
                <w:b/>
                <w:bCs/>
                <w:sz w:val="28"/>
                <w:szCs w:val="28"/>
                <w:lang w:eastAsia="zh-CN"/>
              </w:rPr>
            </w:pPr>
            <w:r>
              <w:rPr>
                <w:rFonts w:hint="eastAsia" w:ascii="方正书宋_GBK" w:eastAsia="方正书宋_GBK" w:cs="方正书宋_GBK"/>
                <w:sz w:val="28"/>
                <w:szCs w:val="28"/>
                <w:lang w:eastAsia="zh-CN"/>
              </w:rPr>
              <w:t>财政拨款</w:t>
            </w:r>
          </w:p>
        </w:tc>
      </w:tr>
    </w:tbl>
    <w:p>
      <w:pPr>
        <w:rPr>
          <w:rFonts w:ascii="黑体" w:hAnsi="黑体" w:eastAsia="黑体" w:cs="Times New Roman"/>
          <w:sz w:val="32"/>
          <w:szCs w:val="32"/>
        </w:rPr>
      </w:pP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二、部门预算安排的总体情况</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lang w:val="en-US" w:eastAsia="zh-CN"/>
        </w:rPr>
        <w:t>1452.73</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lang w:val="en-US" w:eastAsia="zh-CN"/>
        </w:rPr>
        <w:t>1452.73</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w:t>
      </w:r>
      <w:r>
        <w:rPr>
          <w:rFonts w:hint="eastAsia" w:ascii="Times New Roman" w:hAnsi="Times New Roman" w:eastAsia="仿宋" w:cs="仿宋"/>
          <w:sz w:val="32"/>
          <w:szCs w:val="32"/>
          <w:lang w:eastAsia="zh-CN"/>
        </w:rPr>
        <w:t>中共</w:t>
      </w:r>
      <w:r>
        <w:rPr>
          <w:rFonts w:hint="eastAsia" w:ascii="Times New Roman" w:hAnsi="Times New Roman" w:eastAsia="仿宋" w:cs="仿宋"/>
          <w:sz w:val="32"/>
          <w:szCs w:val="32"/>
        </w:rPr>
        <w:t>隆尧县纪委</w:t>
      </w:r>
      <w:r>
        <w:rPr>
          <w:rFonts w:hint="eastAsia" w:ascii="Times New Roman" w:hAnsi="Times New Roman" w:eastAsia="仿宋" w:cs="仿宋"/>
          <w:sz w:val="32"/>
          <w:szCs w:val="32"/>
          <w:lang w:val="en-US" w:eastAsia="zh-CN"/>
        </w:rPr>
        <w:t>2021</w:t>
      </w:r>
      <w:r>
        <w:rPr>
          <w:rFonts w:hint="eastAsia" w:ascii="Times New Roman" w:hAnsi="Times New Roman" w:eastAsia="仿宋" w:cs="仿宋"/>
          <w:sz w:val="32"/>
          <w:szCs w:val="32"/>
        </w:rPr>
        <w:t>年度部门预算中支出预算的总体情况。</w:t>
      </w: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年支出预算为</w:t>
      </w:r>
      <w:r>
        <w:rPr>
          <w:rFonts w:hint="eastAsia" w:ascii="Times New Roman" w:hAnsi="Times New Roman" w:eastAsia="仿宋" w:cs="Times New Roman"/>
          <w:sz w:val="32"/>
          <w:szCs w:val="32"/>
          <w:lang w:val="en-US" w:eastAsia="zh-CN"/>
        </w:rPr>
        <w:t>1452.73</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lang w:val="en-US" w:eastAsia="zh-CN"/>
        </w:rPr>
        <w:t>870.15</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647.51</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222.64</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lang w:val="en-US" w:eastAsia="zh-CN"/>
        </w:rPr>
        <w:t>582.58</w:t>
      </w:r>
      <w:r>
        <w:rPr>
          <w:rFonts w:hint="eastAsia" w:ascii="Times New Roman" w:hAnsi="Times New Roman" w:eastAsia="仿宋" w:cs="仿宋"/>
          <w:sz w:val="32"/>
          <w:szCs w:val="32"/>
        </w:rPr>
        <w:t>万元，主要为乡镇纪委工作经费、</w:t>
      </w:r>
      <w:r>
        <w:rPr>
          <w:rFonts w:hint="eastAsia" w:ascii="Times New Roman" w:hAnsi="Times New Roman" w:eastAsia="仿宋" w:cs="仿宋"/>
          <w:sz w:val="32"/>
          <w:szCs w:val="32"/>
          <w:lang w:eastAsia="zh-CN"/>
        </w:rPr>
        <w:t>执纪</w:t>
      </w:r>
      <w:r>
        <w:rPr>
          <w:rFonts w:hint="eastAsia" w:ascii="Times New Roman" w:hAnsi="Times New Roman" w:eastAsia="仿宋" w:cs="仿宋"/>
          <w:sz w:val="32"/>
          <w:szCs w:val="32"/>
        </w:rPr>
        <w:t>执法经费、廉政展厅</w:t>
      </w:r>
      <w:r>
        <w:rPr>
          <w:rFonts w:hint="eastAsia" w:ascii="Times New Roman" w:hAnsi="Times New Roman" w:eastAsia="仿宋" w:cs="仿宋"/>
          <w:sz w:val="32"/>
          <w:szCs w:val="32"/>
          <w:lang w:eastAsia="zh-CN"/>
        </w:rPr>
        <w:t>提升工程</w:t>
      </w:r>
      <w:r>
        <w:rPr>
          <w:rFonts w:hint="eastAsia" w:ascii="Times New Roman" w:hAnsi="Times New Roman" w:eastAsia="仿宋" w:cs="仿宋"/>
          <w:sz w:val="32"/>
          <w:szCs w:val="32"/>
        </w:rPr>
        <w:t>、巡察办</w:t>
      </w:r>
      <w:r>
        <w:rPr>
          <w:rFonts w:hint="eastAsia" w:ascii="Times New Roman" w:hAnsi="Times New Roman" w:eastAsia="仿宋" w:cs="仿宋"/>
          <w:sz w:val="32"/>
          <w:szCs w:val="32"/>
          <w:lang w:eastAsia="zh-CN"/>
        </w:rPr>
        <w:t>工作经费、派驻纪检组工作经费、办案设备购置、办公场所修缮、国产化电脑购置、车辆购置、谈话室装修、执法监督平台等</w:t>
      </w:r>
      <w:r>
        <w:rPr>
          <w:rFonts w:hint="eastAsia" w:ascii="Times New Roman" w:hAnsi="Times New Roman" w:eastAsia="仿宋" w:cs="仿宋"/>
          <w:sz w:val="32"/>
          <w:szCs w:val="32"/>
        </w:rPr>
        <w:t>。</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color w:val="000000"/>
          <w:sz w:val="32"/>
          <w:szCs w:val="32"/>
          <w:lang w:eastAsia="zh-CN"/>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1452.73</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w:t>
      </w:r>
      <w:r>
        <w:rPr>
          <w:rFonts w:hint="eastAsia" w:ascii="Times New Roman" w:hAnsi="Times New Roman" w:eastAsia="仿宋" w:cs="仿宋"/>
          <w:sz w:val="32"/>
          <w:szCs w:val="32"/>
          <w:lang w:val="en-US" w:eastAsia="zh-CN"/>
        </w:rPr>
        <w:t>预算</w:t>
      </w:r>
      <w:r>
        <w:rPr>
          <w:rFonts w:hint="eastAsia" w:ascii="Times New Roman" w:hAnsi="Times New Roman" w:eastAsia="仿宋" w:cs="仿宋"/>
          <w:sz w:val="32"/>
          <w:szCs w:val="32"/>
          <w:lang w:eastAsia="zh-CN"/>
        </w:rPr>
        <w:t>增加</w:t>
      </w:r>
      <w:r>
        <w:rPr>
          <w:rFonts w:hint="eastAsia" w:ascii="Times New Roman" w:hAnsi="Times New Roman" w:eastAsia="仿宋" w:cs="Times New Roman"/>
          <w:sz w:val="32"/>
          <w:szCs w:val="32"/>
          <w:lang w:val="en-US" w:eastAsia="zh-CN"/>
        </w:rPr>
        <w:t>124.01</w:t>
      </w:r>
      <w:r>
        <w:rPr>
          <w:rFonts w:hint="eastAsia" w:ascii="Times New Roman" w:hAnsi="Times New Roman" w:eastAsia="仿宋" w:cs="仿宋"/>
          <w:sz w:val="32"/>
          <w:szCs w:val="32"/>
        </w:rPr>
        <w:t>万元，其中：基本支出增</w:t>
      </w:r>
      <w:r>
        <w:rPr>
          <w:rFonts w:hint="eastAsia" w:ascii="Times New Roman" w:hAnsi="Times New Roman" w:eastAsia="仿宋" w:cs="仿宋"/>
          <w:sz w:val="32"/>
          <w:szCs w:val="32"/>
          <w:lang w:eastAsia="zh-CN"/>
        </w:rPr>
        <w:t>加</w:t>
      </w:r>
      <w:r>
        <w:rPr>
          <w:rFonts w:hint="eastAsia" w:ascii="Times New Roman" w:hAnsi="Times New Roman" w:eastAsia="仿宋" w:cs="Times New Roman"/>
          <w:sz w:val="32"/>
          <w:szCs w:val="32"/>
          <w:lang w:val="en-US" w:eastAsia="zh-CN"/>
        </w:rPr>
        <w:t>113.4</w:t>
      </w:r>
      <w:r>
        <w:rPr>
          <w:rFonts w:hint="eastAsia" w:ascii="Times New Roman" w:hAnsi="Times New Roman" w:eastAsia="仿宋" w:cs="仿宋"/>
          <w:sz w:val="32"/>
          <w:szCs w:val="32"/>
        </w:rPr>
        <w:t>万元，主要是</w:t>
      </w:r>
      <w:r>
        <w:rPr>
          <w:rFonts w:hint="eastAsia" w:ascii="Times New Roman" w:hAnsi="Times New Roman" w:eastAsia="仿宋" w:cs="仿宋"/>
          <w:sz w:val="32"/>
          <w:szCs w:val="32"/>
          <w:lang w:eastAsia="zh-CN"/>
        </w:rPr>
        <w:t>人员增加，保障经费增加</w:t>
      </w:r>
      <w:r>
        <w:rPr>
          <w:rFonts w:hint="eastAsia" w:ascii="Times New Roman" w:hAnsi="Times New Roman" w:eastAsia="仿宋" w:cs="仿宋"/>
          <w:sz w:val="32"/>
          <w:szCs w:val="32"/>
        </w:rPr>
        <w:t>；项目支出</w:t>
      </w:r>
      <w:r>
        <w:rPr>
          <w:rFonts w:hint="eastAsia" w:ascii="Times New Roman" w:hAnsi="Times New Roman" w:eastAsia="仿宋" w:cs="仿宋"/>
          <w:sz w:val="32"/>
          <w:szCs w:val="32"/>
          <w:lang w:eastAsia="zh-CN"/>
        </w:rPr>
        <w:t>增加</w:t>
      </w:r>
      <w:r>
        <w:rPr>
          <w:rFonts w:hint="eastAsia" w:ascii="Times New Roman" w:hAnsi="Times New Roman" w:eastAsia="仿宋" w:cs="Times New Roman"/>
          <w:sz w:val="32"/>
          <w:szCs w:val="32"/>
          <w:lang w:val="en-US" w:eastAsia="zh-CN"/>
        </w:rPr>
        <w:t>10.61</w:t>
      </w:r>
      <w:r>
        <w:rPr>
          <w:rFonts w:hint="eastAsia" w:ascii="Times New Roman" w:hAnsi="Times New Roman" w:eastAsia="仿宋" w:cs="仿宋"/>
          <w:sz w:val="32"/>
          <w:szCs w:val="32"/>
        </w:rPr>
        <w:t>万元，主要</w:t>
      </w:r>
      <w:r>
        <w:rPr>
          <w:rFonts w:hint="eastAsia" w:ascii="Times New Roman" w:hAnsi="Times New Roman" w:eastAsia="仿宋" w:cs="仿宋"/>
          <w:sz w:val="32"/>
          <w:szCs w:val="32"/>
          <w:lang w:val="en-US" w:eastAsia="zh-CN"/>
        </w:rPr>
        <w:t>因为项目较去年有所增加</w:t>
      </w:r>
      <w:r>
        <w:rPr>
          <w:rFonts w:hint="eastAsia" w:ascii="Times New Roman" w:hAnsi="Times New Roman" w:eastAsia="仿宋" w:cs="仿宋"/>
          <w:sz w:val="32"/>
          <w:szCs w:val="32"/>
        </w:rPr>
        <w:t>。</w:t>
      </w:r>
      <w:bookmarkStart w:id="20" w:name="_GoBack"/>
      <w:bookmarkEnd w:id="20"/>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三、机关运行经费安排情况</w:t>
      </w:r>
    </w:p>
    <w:p>
      <w:pPr>
        <w:keepNext w:val="0"/>
        <w:keepLines w:val="0"/>
        <w:pageBreakBefore w:val="0"/>
        <w:widowControl w:val="0"/>
        <w:kinsoku/>
        <w:wordWrap/>
        <w:overflowPunct/>
        <w:topLinePunct w:val="0"/>
        <w:autoSpaceDE w:val="0"/>
        <w:autoSpaceDN w:val="0"/>
        <w:bidi w:val="0"/>
        <w:adjustRightInd w:val="0"/>
        <w:snapToGrid/>
        <w:spacing w:line="240" w:lineRule="auto"/>
        <w:ind w:right="0" w:rightChars="0"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lang w:val="en-US" w:eastAsia="zh-CN"/>
        </w:rPr>
        <w:t>222.64</w:t>
      </w:r>
      <w:r>
        <w:rPr>
          <w:rFonts w:hint="eastAsia" w:ascii="Times New Roman" w:hAnsi="Times New Roman" w:eastAsia="仿宋" w:cs="仿宋"/>
          <w:sz w:val="32"/>
          <w:szCs w:val="32"/>
        </w:rPr>
        <w:t>万元，主要用于保证机关正常运转的办公及印刷费、邮电费、差旅费、会议费、福利费、</w:t>
      </w:r>
      <w:r>
        <w:rPr>
          <w:rFonts w:hint="eastAsia" w:ascii="Times New Roman" w:hAnsi="Times New Roman" w:eastAsia="仿宋" w:cs="仿宋"/>
          <w:sz w:val="32"/>
          <w:szCs w:val="32"/>
          <w:lang w:eastAsia="zh-CN"/>
        </w:rPr>
        <w:t>办公</w:t>
      </w:r>
      <w:r>
        <w:rPr>
          <w:rFonts w:hint="eastAsia" w:ascii="Times New Roman" w:hAnsi="Times New Roman" w:eastAsia="仿宋" w:cs="仿宋"/>
          <w:sz w:val="32"/>
          <w:szCs w:val="32"/>
        </w:rPr>
        <w:t>设备购置费、办公用房水电费、办公用房取暖费、日常维修费、办公楼物业管理费等支出。</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四、财政拨款“三公”经费预算情况及增减变化原因</w:t>
      </w:r>
    </w:p>
    <w:p>
      <w:pPr>
        <w:keepNext w:val="0"/>
        <w:keepLines w:val="0"/>
        <w:pageBreakBefore w:val="0"/>
        <w:widowControl w:val="0"/>
        <w:kinsoku/>
        <w:wordWrap/>
        <w:overflowPunct/>
        <w:topLinePunct w:val="0"/>
        <w:autoSpaceDE w:val="0"/>
        <w:autoSpaceDN w:val="0"/>
        <w:bidi w:val="0"/>
        <w:adjustRightInd w:val="0"/>
        <w:snapToGrid/>
        <w:spacing w:line="240" w:lineRule="auto"/>
        <w:ind w:right="0" w:rightChars="0"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仿宋"/>
          <w:sz w:val="32"/>
          <w:szCs w:val="32"/>
          <w:lang w:val="en-US" w:eastAsia="zh-CN"/>
        </w:rPr>
        <w:t>24.68</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仿宋"/>
          <w:sz w:val="32"/>
          <w:szCs w:val="32"/>
          <w:lang w:val="en-US" w:eastAsia="zh-CN"/>
        </w:rPr>
        <w:t>22.68</w:t>
      </w:r>
      <w:r>
        <w:rPr>
          <w:rFonts w:hint="eastAsia" w:ascii="Times New Roman" w:hAnsi="Times New Roman" w:eastAsia="仿宋" w:cs="仿宋"/>
          <w:sz w:val="32"/>
          <w:szCs w:val="32"/>
        </w:rPr>
        <w:t>万元（其中：公务用车购置费</w:t>
      </w:r>
      <w:r>
        <w:rPr>
          <w:rFonts w:hint="eastAsia" w:ascii="Times New Roman" w:hAnsi="Times New Roman" w:eastAsia="仿宋" w:cs="仿宋"/>
          <w:sz w:val="32"/>
          <w:szCs w:val="32"/>
          <w:lang w:val="en-US" w:eastAsia="zh-CN"/>
        </w:rPr>
        <w:t>22.68</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仿宋"/>
          <w:sz w:val="32"/>
          <w:szCs w:val="32"/>
          <w:lang w:val="en-US" w:eastAsia="zh-CN"/>
        </w:rPr>
        <w:t>2</w:t>
      </w:r>
      <w:r>
        <w:rPr>
          <w:rFonts w:hint="eastAsia" w:ascii="Times New Roman" w:hAnsi="Times New Roman" w:eastAsia="仿宋" w:cs="仿宋"/>
          <w:sz w:val="32"/>
          <w:szCs w:val="32"/>
        </w:rPr>
        <w:t>万元。“三公”经费</w:t>
      </w:r>
      <w:r>
        <w:rPr>
          <w:rFonts w:hint="eastAsia" w:ascii="Times New Roman" w:hAnsi="Times New Roman" w:eastAsia="仿宋" w:cs="仿宋"/>
          <w:sz w:val="32"/>
          <w:szCs w:val="32"/>
          <w:lang w:eastAsia="zh-CN"/>
        </w:rPr>
        <w:t>比</w:t>
      </w:r>
      <w:r>
        <w:rPr>
          <w:rFonts w:hint="eastAsia" w:ascii="Times New Roman" w:hAnsi="Times New Roman" w:eastAsia="仿宋" w:cs="仿宋"/>
          <w:sz w:val="32"/>
          <w:szCs w:val="32"/>
        </w:rPr>
        <w:t>上年</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lang w:val="en-US" w:eastAsia="zh-CN"/>
        </w:rPr>
        <w:t>21.68万元，主要原因是部分车辆使用年限较长，车况较差，符合相关规定，已进行处置，2021年需重新购置</w:t>
      </w:r>
      <w:r>
        <w:rPr>
          <w:rFonts w:hint="eastAsia" w:ascii="Times New Roman" w:hAnsi="Times New Roman" w:eastAsia="仿宋" w:cs="仿宋"/>
          <w:sz w:val="32"/>
          <w:szCs w:val="32"/>
        </w:rPr>
        <w:t>。</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五、预算绩效信息</w:t>
      </w:r>
    </w:p>
    <w:p>
      <w:pPr>
        <w:keepNext w:val="0"/>
        <w:keepLines w:val="0"/>
        <w:pageBreakBefore w:val="0"/>
        <w:widowControl w:val="0"/>
        <w:kinsoku/>
        <w:wordWrap/>
        <w:overflowPunct/>
        <w:topLinePunct w:val="0"/>
        <w:autoSpaceDE w:val="0"/>
        <w:autoSpaceDN w:val="0"/>
        <w:bidi w:val="0"/>
        <w:adjustRightInd w:val="0"/>
        <w:snapToGrid/>
        <w:spacing w:line="240" w:lineRule="auto"/>
        <w:ind w:right="0" w:rightChars="0" w:firstLine="560" w:firstLineChars="200"/>
        <w:jc w:val="left"/>
        <w:textAlignment w:val="auto"/>
        <w:outlineLvl w:val="9"/>
        <w:rPr>
          <w:rFonts w:hint="eastAsia" w:ascii="方正仿宋_GBK" w:eastAsia="方正仿宋_GBK" w:cs="方正仿宋_GBK"/>
          <w:sz w:val="28"/>
          <w:szCs w:val="28"/>
          <w:lang w:eastAsia="zh-CN"/>
        </w:rPr>
      </w:pPr>
      <w:bookmarkStart w:id="0" w:name="_Toc471398463"/>
      <w:r>
        <w:rPr>
          <w:rFonts w:hint="eastAsia" w:ascii="方正仿宋_GBK" w:eastAsia="方正仿宋_GBK" w:cs="方正仿宋_GBK"/>
          <w:sz w:val="28"/>
          <w:szCs w:val="28"/>
          <w:lang w:eastAsia="zh-CN"/>
        </w:rPr>
        <w:t>第一部分</w:t>
      </w:r>
      <w:r>
        <w:rPr>
          <w:rFonts w:hint="eastAsia" w:ascii="方正仿宋_GBK" w:eastAsia="方正仿宋_GBK" w:cs="方正仿宋_GBK"/>
          <w:sz w:val="28"/>
          <w:szCs w:val="28"/>
          <w:lang w:val="en-US" w:eastAsia="zh-CN"/>
        </w:rPr>
        <w:t xml:space="preserve"> 部门整体绩效目标</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（一）总体绩效目标</w:t>
      </w:r>
      <w:bookmarkStart w:id="1" w:name="_Toc18782"/>
      <w:bookmarkStart w:id="2" w:name="_Toc23079"/>
      <w:r>
        <w:rPr>
          <w:rFonts w:hint="eastAsia" w:ascii="楷体" w:hAnsi="楷体" w:eastAsia="楷体" w:cs="楷体"/>
          <w:sz w:val="32"/>
          <w:szCs w:val="32"/>
        </w:rPr>
        <w:fldChar w:fldCharType="begin"/>
      </w:r>
      <w:r>
        <w:rPr>
          <w:rFonts w:hint="eastAsia" w:ascii="楷体" w:hAnsi="楷体" w:eastAsia="楷体" w:cs="楷体"/>
          <w:sz w:val="32"/>
          <w:szCs w:val="32"/>
          <w:lang w:eastAsia="zh-CN"/>
        </w:rPr>
        <w:instrText xml:space="preserve"> TC 总体绩效目标 \f A \l 1 </w:instrText>
      </w:r>
      <w:r>
        <w:rPr>
          <w:rFonts w:hint="eastAsia" w:ascii="楷体" w:hAnsi="楷体" w:eastAsia="楷体" w:cs="楷体"/>
          <w:sz w:val="32"/>
          <w:szCs w:val="32"/>
          <w:lang w:eastAsia="zh-CN"/>
        </w:rPr>
        <w:fldChar w:fldCharType="end"/>
      </w:r>
      <w:bookmarkEnd w:id="1"/>
      <w:bookmarkEnd w:id="2"/>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在市纪委和县委的坚强领导下，隆尧县纪委监委认真学习习近平新时代中国特色社会主义思想，切实增强“四个意识”、坚定“四个自信”、做到“两个维护”，聚焦主责主业，强化监督执纪问责，持之以恒</w:t>
      </w:r>
      <w:r>
        <w:rPr>
          <w:rFonts w:hint="eastAsia" w:ascii="Times New Roman" w:hAnsi="Times New Roman" w:eastAsia="仿宋" w:cs="仿宋"/>
          <w:sz w:val="32"/>
          <w:szCs w:val="32"/>
          <w:lang w:eastAsia="zh-CN"/>
        </w:rPr>
        <w:t>正</w:t>
      </w:r>
      <w:r>
        <w:rPr>
          <w:rFonts w:hint="eastAsia" w:ascii="Times New Roman" w:hAnsi="Times New Roman" w:eastAsia="仿宋" w:cs="仿宋"/>
          <w:sz w:val="32"/>
          <w:szCs w:val="32"/>
        </w:rPr>
        <w:t>风肃纪，深入推进党风廉政建设和反腐败斗争取得新成效，为全县经济社会高质量赶超发展提供坚强纪律保障。</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（二）分项绩效目标</w:t>
      </w:r>
      <w:bookmarkStart w:id="3" w:name="_Toc6478"/>
      <w:bookmarkStart w:id="4" w:name="_Toc31612"/>
      <w:r>
        <w:rPr>
          <w:rFonts w:hint="eastAsia" w:ascii="楷体" w:hAnsi="楷体" w:eastAsia="楷体" w:cs="楷体"/>
          <w:sz w:val="32"/>
          <w:szCs w:val="32"/>
        </w:rPr>
        <w:fldChar w:fldCharType="begin"/>
      </w:r>
      <w:r>
        <w:rPr>
          <w:rFonts w:hint="eastAsia" w:ascii="楷体" w:hAnsi="楷体" w:eastAsia="楷体" w:cs="楷体"/>
          <w:sz w:val="32"/>
          <w:szCs w:val="32"/>
          <w:lang w:eastAsia="zh-CN"/>
        </w:rPr>
        <w:instrText xml:space="preserve"> TC 分项绩效目标 \f A \l 1 </w:instrText>
      </w:r>
      <w:r>
        <w:rPr>
          <w:rFonts w:hint="eastAsia" w:ascii="楷体" w:hAnsi="楷体" w:eastAsia="楷体" w:cs="楷体"/>
          <w:sz w:val="32"/>
          <w:szCs w:val="32"/>
          <w:lang w:eastAsia="zh-CN"/>
        </w:rPr>
        <w:fldChar w:fldCharType="end"/>
      </w:r>
      <w:bookmarkEnd w:id="3"/>
      <w:bookmarkEnd w:id="4"/>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1</w:t>
      </w:r>
      <w:r>
        <w:rPr>
          <w:rFonts w:hint="eastAsia" w:ascii="Times New Roman" w:hAnsi="Times New Roman" w:eastAsia="仿宋" w:cs="仿宋"/>
          <w:sz w:val="32"/>
          <w:szCs w:val="32"/>
        </w:rPr>
        <w:t>、着力强化政治监督，坚决做到“两个维护”</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围绕各级各部门落实抗疫情、稳经济、谋发展主体责任开展监督。聚焦上级决策部署落实落地，通过精准问责推进大气污染防治等专项治理工作，取得良好社会效果。督促推动各级党组织落实全面从严治党政治责任，将《中国共产党问责条例》等有关党纪党规落实情况纳入监督检查重要内容。</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绩效指标：各项政策落实落地，群众满意度不低于95% 。</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2</w:t>
      </w:r>
      <w:r>
        <w:rPr>
          <w:rFonts w:hint="eastAsia" w:ascii="Times New Roman" w:hAnsi="Times New Roman" w:eastAsia="仿宋" w:cs="仿宋"/>
          <w:sz w:val="32"/>
          <w:szCs w:val="32"/>
        </w:rPr>
        <w:t xml:space="preserve">、着力深化体制改革，把改革成果转化为治理效能 </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绩效目标：结合深化乡镇改革，持续加强乡镇纪委标准化规范化建设，积极探索推进派驻机构标准化规范化建设。制发《派驻机构标准化规范化建设手册》及相关文件制度，打造标准化办公场所。</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 xml:space="preserve">绩效指标：加强设备保障，办案人员满意度不低于95%。 </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3</w:t>
      </w:r>
      <w:r>
        <w:rPr>
          <w:rFonts w:hint="eastAsia" w:ascii="Times New Roman" w:hAnsi="Times New Roman" w:eastAsia="仿宋" w:cs="仿宋"/>
          <w:sz w:val="32"/>
          <w:szCs w:val="32"/>
        </w:rPr>
        <w:t>、着力发挥监督专责作用，做细做实监督工作</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加强同级监督，明确党委领导班子及其成员在履行职责、行使权力和廉洁自律等8项监督内容。加强乡镇机构改革监督。通过制定监督事项清单将298项监督内容细化风险等级，建立常态化监督检查和定期抽查机制。充分发挥村级监督“前沿哨”作用。推进“大数据”监督平台建设，加强科学精准监督。</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绩效指标：开展警示教育宣传。</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4</w:t>
      </w:r>
      <w:r>
        <w:rPr>
          <w:rFonts w:hint="eastAsia" w:ascii="Times New Roman" w:hAnsi="Times New Roman" w:eastAsia="仿宋" w:cs="仿宋"/>
          <w:sz w:val="32"/>
          <w:szCs w:val="32"/>
        </w:rPr>
        <w:t>、着力巩固拓展作风建设成效，推动化风成俗、成为习惯</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绩效目标：深入贯彻落实中央八项规定精神，开展督查活动。通过召开警示教育大会、印发学习资料、加强廉政教育基地建设强化警示教育。</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绩效指标：对发现问题全部整改到位。</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5</w:t>
      </w:r>
      <w:r>
        <w:rPr>
          <w:rFonts w:hint="eastAsia" w:ascii="Times New Roman" w:hAnsi="Times New Roman" w:eastAsia="仿宋" w:cs="仿宋"/>
          <w:sz w:val="32"/>
          <w:szCs w:val="32"/>
        </w:rPr>
        <w:t>、着力强化政治巡察，不断提升巡察工作水平</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绩效目标：明确巡察重点，抓好整改落实工作，修订完善《抽调农村纪检员参与巡察工作暂行办法》等8项工作制度。</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绩效指标：巡察实现重点领域全覆盖。</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6</w:t>
      </w:r>
      <w:r>
        <w:rPr>
          <w:rFonts w:hint="eastAsia" w:ascii="Times New Roman" w:hAnsi="Times New Roman" w:eastAsia="仿宋" w:cs="仿宋"/>
          <w:sz w:val="32"/>
          <w:szCs w:val="32"/>
        </w:rPr>
        <w:t>、着力锤炼干部作风，建设政治过硬、本领高强的纪律铁军</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绩效目标：坚持严管厚爱，加强业务知识培训。通过开办“周一夜校”和岗位实战练兵相结合，切实提升履职能力，强化考核激励。</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绩效指标：开展业务培训不少于2场；培训合格率不低于95%；受培训人员满意度不低于95%。</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楷体" w:hAnsi="楷体" w:eastAsia="楷体" w:cs="楷体"/>
          <w:sz w:val="32"/>
          <w:szCs w:val="32"/>
          <w:lang w:eastAsia="zh-CN"/>
        </w:rPr>
      </w:pPr>
      <w:bookmarkStart w:id="5" w:name="_Toc66039634"/>
      <w:r>
        <w:rPr>
          <w:rFonts w:hint="eastAsia" w:ascii="楷体" w:hAnsi="楷体" w:eastAsia="楷体" w:cs="楷体"/>
          <w:sz w:val="32"/>
          <w:szCs w:val="32"/>
          <w:lang w:eastAsia="zh-CN"/>
        </w:rPr>
        <w:t>（三）工作保障措施</w:t>
      </w:r>
      <w:bookmarkEnd w:id="5"/>
      <w:r>
        <w:rPr>
          <w:rFonts w:hint="eastAsia" w:ascii="楷体" w:hAnsi="楷体" w:eastAsia="楷体" w:cs="楷体"/>
          <w:sz w:val="32"/>
          <w:szCs w:val="32"/>
          <w:lang w:eastAsia="zh-CN"/>
        </w:rPr>
        <w:fldChar w:fldCharType="begin"/>
      </w:r>
      <w:r>
        <w:rPr>
          <w:rFonts w:hint="eastAsia" w:ascii="楷体" w:hAnsi="楷体" w:eastAsia="楷体" w:cs="楷体"/>
          <w:sz w:val="32"/>
          <w:szCs w:val="32"/>
          <w:lang w:eastAsia="zh-CN"/>
        </w:rPr>
        <w:instrText xml:space="preserve"> TC 工作保障措施 \f A \l 1 </w:instrText>
      </w:r>
      <w:r>
        <w:rPr>
          <w:rFonts w:hint="eastAsia" w:ascii="楷体" w:hAnsi="楷体" w:eastAsia="楷体" w:cs="楷体"/>
          <w:sz w:val="32"/>
          <w:szCs w:val="32"/>
          <w:lang w:eastAsia="zh-CN"/>
        </w:rPr>
        <w:fldChar w:fldCharType="end"/>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、完善制度建设。制定完善预算绩效管理制度、资金管理办法、工作保障制度等，为全年预算绩效目标实现奠定制度基础。</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、加强支出管理。通过优化支出结构、编细编实预算、加快履行政府采购手续、按规定及时下达资金等多种措施，确保支出进度达标。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、加强绩效运行监控。按要求开展绩效运行监控，发现问题及时采取措施，确保绩效目标如期保质实现。</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、做好绩效自评。按要求开展上年度部门预算绩效自评和重点评价工作，对评价中发现的问题及时整改，调整优化支出结构，提高财政资金使用效益。</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、规范财务资产管理。完善财务管理制度，严格审批程序，加强固定资产登记、使用和报废处置管理，做到支出合理，物尽其用。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、加强宣传培训调研。加强人员培训，提高本部门职工业务素质；加强调研，提出优化财政资金配置、提高资金使用效益的意见；加大宣传力度，强化绩效管理意识，促进预算绩效管理水平进一步提升。</w:t>
      </w:r>
    </w:p>
    <w:p>
      <w:pPr>
        <w:ind w:firstLine="640"/>
        <w:rPr>
          <w:rFonts w:hint="eastAsia" w:ascii="黑体" w:hAnsi="黑体" w:eastAsia="黑体" w:cs="黑体"/>
          <w:sz w:val="32"/>
          <w:szCs w:val="32"/>
          <w:lang w:eastAsia="zh-CN"/>
        </w:rPr>
      </w:pPr>
      <w:r>
        <w:rPr>
          <w:rFonts w:hint="eastAsia" w:ascii="黑体" w:hAnsi="黑体" w:eastAsia="黑体" w:cs="黑体"/>
          <w:sz w:val="32"/>
          <w:szCs w:val="32"/>
          <w:lang w:eastAsia="zh-CN"/>
        </w:rPr>
        <w:t>第二部分</w:t>
      </w:r>
      <w:r>
        <w:rPr>
          <w:rFonts w:hint="eastAsia" w:ascii="黑体" w:hAnsi="黑体" w:eastAsia="黑体" w:cs="黑体"/>
          <w:sz w:val="32"/>
          <w:szCs w:val="32"/>
          <w:lang w:val="en-US" w:eastAsia="zh-CN"/>
        </w:rPr>
        <w:t xml:space="preserve"> </w:t>
      </w:r>
      <w:r>
        <w:rPr>
          <w:rFonts w:hint="eastAsia" w:ascii="黑体" w:hAnsi="黑体" w:eastAsia="黑体" w:cs="黑体"/>
          <w:sz w:val="32"/>
          <w:szCs w:val="32"/>
          <w:lang w:eastAsia="zh-CN"/>
        </w:rPr>
        <w:t>预算项目</w:t>
      </w:r>
      <w:r>
        <w:rPr>
          <w:rFonts w:hint="eastAsia" w:ascii="黑体" w:hAnsi="黑体" w:eastAsia="黑体" w:cs="黑体"/>
          <w:sz w:val="32"/>
          <w:szCs w:val="32"/>
        </w:rPr>
        <w:t>绩效目标：</w:t>
      </w:r>
      <w:bookmarkEnd w:id="0"/>
      <w:bookmarkStart w:id="6" w:name="_Toc11515"/>
      <w:r>
        <w:rPr>
          <w:rFonts w:hint="eastAsia" w:ascii="黑体" w:hAnsi="黑体" w:eastAsia="黑体" w:cs="黑体"/>
          <w:sz w:val="32"/>
          <w:szCs w:val="32"/>
        </w:rPr>
        <w:fldChar w:fldCharType="begin"/>
      </w:r>
      <w:r>
        <w:rPr>
          <w:rFonts w:hint="eastAsia" w:ascii="黑体" w:hAnsi="黑体" w:eastAsia="黑体" w:cs="黑体"/>
          <w:sz w:val="32"/>
          <w:szCs w:val="32"/>
          <w:lang w:eastAsia="zh-CN"/>
        </w:rPr>
        <w:instrText xml:space="preserve"> TC 1、搬迁经费绩效目标表 \f C \l 1 </w:instrText>
      </w:r>
      <w:r>
        <w:rPr>
          <w:rFonts w:hint="eastAsia" w:ascii="黑体" w:hAnsi="黑体" w:eastAsia="黑体" w:cs="黑体"/>
          <w:sz w:val="32"/>
          <w:szCs w:val="32"/>
          <w:lang w:eastAsia="zh-CN"/>
        </w:rPr>
        <w:fldChar w:fldCharType="end"/>
      </w:r>
      <w:bookmarkEnd w:id="6"/>
    </w:p>
    <w:p>
      <w:pPr>
        <w:ind w:firstLine="562" w:firstLineChars="200"/>
        <w:jc w:val="left"/>
        <w:outlineLvl w:val="3"/>
        <w:rPr>
          <w:rFonts w:ascii="Times New Roman" w:hAnsi="宋体"/>
          <w:b/>
          <w:sz w:val="28"/>
        </w:rPr>
      </w:pPr>
      <w:bookmarkStart w:id="7" w:name="_Toc66039635"/>
      <w:r>
        <w:rPr>
          <w:rFonts w:hint="eastAsia" w:ascii="方正仿宋_GBK" w:eastAsia="方正仿宋_GBK"/>
          <w:b/>
          <w:sz w:val="28"/>
        </w:rPr>
        <w:t>1.乡镇纪委工作经费绩效目标表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1、乡镇纪委工作经费绩效目标表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确保农村两委干部廉洁履职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老百姓对乡镇及两位干部认可度提高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监督覆盖率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监督执纪规则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监督执纪规则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监督执纪规则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监督执纪规则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监督执纪规则</w:t>
            </w:r>
          </w:p>
        </w:tc>
      </w:tr>
    </w:tbl>
    <w:p>
      <w:pPr>
        <w:spacing w:line="300" w:lineRule="exact"/>
        <w:jc w:val="left"/>
        <w:sectPr>
          <w:footerReference r:id="rId3" w:type="default"/>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8" w:name="_Toc66039636"/>
      <w:r>
        <w:rPr>
          <w:rFonts w:hint="eastAsia" w:ascii="方正仿宋_GBK" w:eastAsia="方正仿宋_GBK"/>
          <w:b/>
          <w:sz w:val="28"/>
        </w:rPr>
        <w:t>2.廉政展厅提升工程绩效目标表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2、廉政展厅提升工程绩效目标表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持之以恒</w:t>
            </w:r>
            <w:r>
              <w:rPr>
                <w:rFonts w:hint="eastAsia" w:ascii="方正书宋_GBK" w:eastAsia="方正书宋_GBK"/>
                <w:lang w:eastAsia="zh-CN"/>
              </w:rPr>
              <w:t>正</w:t>
            </w:r>
            <w:r>
              <w:rPr>
                <w:rFonts w:hint="eastAsia" w:ascii="方正书宋_GBK" w:eastAsia="方正书宋_GBK"/>
              </w:rPr>
              <w:t>风肃纪，深入推进党风廉政建设和反腐败斗争取得新成效</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利用廉政教育展厅，教育引导广大党员干部增强廉洁自律意识。</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组织参观学习人次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组织参观学习人次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bl>
    <w:p>
      <w:pPr>
        <w:ind w:firstLine="562" w:firstLineChars="200"/>
        <w:jc w:val="left"/>
        <w:outlineLvl w:val="3"/>
        <w:rPr>
          <w:rFonts w:hint="eastAsia" w:ascii="方正仿宋_GBK" w:eastAsia="方正仿宋_GBK"/>
          <w:b/>
          <w:sz w:val="28"/>
        </w:rPr>
      </w:pPr>
      <w:bookmarkStart w:id="9" w:name="_Toc66039637"/>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3.办案设备购置绩效目标表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3、办案设备购置绩效目标表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保障纪检监察工作有序开展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确保党的各项方针政策落到实处，坚决查处违纪违法案件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0" w:name="_Toc66039638"/>
      <w:r>
        <w:rPr>
          <w:rFonts w:hint="eastAsia" w:ascii="方正仿宋_GBK" w:eastAsia="方正仿宋_GBK"/>
          <w:b/>
          <w:sz w:val="28"/>
        </w:rPr>
        <w:t>4.谈话室装修绩效目标表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4、谈话室装修绩效目标表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提高执纪审查安全性、规范性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为办案人员工作水平和办案能力提升提供保障</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bl>
    <w:p>
      <w:pPr>
        <w:ind w:firstLine="562" w:firstLineChars="200"/>
        <w:jc w:val="left"/>
        <w:outlineLvl w:val="3"/>
        <w:rPr>
          <w:rFonts w:hint="eastAsia" w:ascii="方正仿宋_GBK" w:eastAsia="方正仿宋_GBK"/>
          <w:b/>
          <w:sz w:val="28"/>
        </w:rPr>
      </w:pPr>
      <w:bookmarkStart w:id="11" w:name="_Toc66039639"/>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5.派驻纪检组工作经费绩效目标表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5、派驻纪检组工作经费绩效目标表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深入推进党风廉政建设和反腐倡廉工作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完善权力的监督制约机制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服务效率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2" w:name="_Toc66039640"/>
      <w:r>
        <w:rPr>
          <w:rFonts w:hint="eastAsia" w:ascii="方正仿宋_GBK" w:eastAsia="方正仿宋_GBK"/>
          <w:b/>
          <w:sz w:val="28"/>
        </w:rPr>
        <w:t>6.国产化电脑购置绩效目标表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6、国产化电脑购置绩效目标表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保障纪检监察工作有序开展</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购置数量与购置计划的比率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购置数量与购置计划的比率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bl>
    <w:p>
      <w:pPr>
        <w:jc w:val="left"/>
        <w:outlineLvl w:val="3"/>
        <w:rPr>
          <w:rFonts w:hint="eastAsia" w:ascii="方正仿宋_GBK" w:eastAsia="方正仿宋_GBK"/>
          <w:b/>
          <w:sz w:val="28"/>
        </w:rPr>
      </w:pPr>
      <w:bookmarkStart w:id="13" w:name="_Toc66039641"/>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7.执法监督平台绩效目标表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7、执法监督平台绩效目标表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确保监督执纪工作顺利开展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将大数据与党风廉政建设和反腐败工作有机融合，进一步提升监督实效</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4" w:name="_Toc66039642"/>
      <w:r>
        <w:rPr>
          <w:rFonts w:hint="eastAsia" w:ascii="方正仿宋_GBK" w:eastAsia="方正仿宋_GBK"/>
          <w:b/>
          <w:sz w:val="28"/>
        </w:rPr>
        <w:t>8.巡察办工作经费绩效目标表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8、巡察办工作经费绩效目标表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实现县本级巡察既定目标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不断提升巡察工作水平</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bl>
    <w:p>
      <w:pPr>
        <w:ind w:firstLine="562" w:firstLineChars="200"/>
        <w:jc w:val="left"/>
        <w:outlineLvl w:val="3"/>
        <w:rPr>
          <w:rFonts w:hint="eastAsia" w:ascii="方正仿宋_GBK" w:eastAsia="方正仿宋_GBK"/>
          <w:b/>
          <w:sz w:val="28"/>
        </w:rPr>
      </w:pPr>
      <w:bookmarkStart w:id="15" w:name="_Toc66039643"/>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9.执纪执法经费绩效目标表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9、执纪执法经费绩效目标表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执纪执法发现问题线索查结率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群众举报问题线索查结率</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6" w:name="_Toc66039644"/>
      <w:r>
        <w:rPr>
          <w:rFonts w:hint="eastAsia" w:ascii="方正仿宋_GBK" w:eastAsia="方正仿宋_GBK"/>
          <w:b/>
          <w:sz w:val="28"/>
        </w:rPr>
        <w:t>10.车辆购置绩效目标表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10、车辆购置绩效目标表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保障纪检监察工作有序开展</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车辆购置数量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车辆购置数量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车辆正常使用情况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车辆正常使用情况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bl>
    <w:p>
      <w:pPr>
        <w:ind w:firstLine="562" w:firstLineChars="200"/>
        <w:jc w:val="left"/>
        <w:outlineLvl w:val="3"/>
        <w:rPr>
          <w:rFonts w:hint="eastAsia" w:ascii="方正仿宋_GBK" w:eastAsia="方正仿宋_GBK"/>
          <w:b/>
          <w:sz w:val="28"/>
        </w:rPr>
      </w:pPr>
      <w:bookmarkStart w:id="17" w:name="_Toc66039645"/>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11.办公场所修缮绩效目标表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11、办公场所修缮绩效目标表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保障执纪问责工作顺利进行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确保党的各项方针政策落到实处，坚决查处违纪违法案件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640"/>
        <w:rPr>
          <w:rFonts w:hint="eastAsia" w:ascii="黑体" w:hAnsi="黑体" w:eastAsia="黑体" w:cs="黑体"/>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bookmarkStart w:id="18" w:name="_Toc471398468"/>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lang w:val="en-US" w:eastAsia="zh-CN"/>
        </w:rPr>
        <w:t>215.1</w:t>
      </w:r>
      <w:r>
        <w:rPr>
          <w:rFonts w:hint="eastAsia" w:ascii="Times New Roman" w:hAnsi="Times New Roman" w:eastAsia="仿宋" w:cs="仿宋"/>
          <w:sz w:val="32"/>
          <w:szCs w:val="32"/>
        </w:rPr>
        <w:t>万元。具体内容见下表。</w:t>
      </w:r>
      <w:bookmarkEnd w:id="18"/>
    </w:p>
    <w:p>
      <w:pPr>
        <w:jc w:val="center"/>
        <w:outlineLvl w:val="1"/>
        <w:rPr>
          <w:rFonts w:hint="eastAsia" w:ascii="Times New Roman" w:hAnsi="宋体"/>
          <w:sz w:val="32"/>
        </w:rPr>
      </w:pPr>
      <w:bookmarkStart w:id="19" w:name="_Toc66008901"/>
      <w:r>
        <w:rPr>
          <w:rFonts w:hint="eastAsia" w:ascii="方正小标宋_GBK" w:eastAsia="方正小标宋_GBK"/>
          <w:sz w:val="32"/>
        </w:rPr>
        <w:t>部门政府采购预算</w:t>
      </w:r>
      <w:bookmarkEnd w:id="19"/>
    </w:p>
    <w:tbl>
      <w:tblPr>
        <w:tblStyle w:val="10"/>
        <w:tblW w:w="1550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中国共产党隆尧县纪律检查委员会</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val="en-US"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215</w:t>
            </w:r>
            <w:r>
              <w:rPr>
                <w:rFonts w:hint="eastAsia" w:ascii="方正书宋_GBK" w:eastAsia="方正书宋_GBK"/>
                <w:b/>
                <w:lang w:val="en-US" w:eastAsia="zh-CN"/>
              </w:rPr>
              <w:t>.</w:t>
            </w:r>
            <w:r>
              <w:rPr>
                <w:rFonts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215</w:t>
            </w:r>
            <w:r>
              <w:rPr>
                <w:rFonts w:hint="eastAsia" w:ascii="方正书宋_GBK" w:eastAsia="方正书宋_GBK"/>
                <w:b/>
                <w:lang w:val="en-US" w:eastAsia="zh-CN"/>
              </w:rPr>
              <w:t>.</w:t>
            </w:r>
            <w:r>
              <w:rPr>
                <w:rFonts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中国共产党隆尧县纪律检查委员会本级小计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215</w:t>
            </w:r>
            <w:r>
              <w:rPr>
                <w:rFonts w:hint="eastAsia" w:ascii="方正书宋_GBK" w:eastAsia="方正书宋_GBK"/>
                <w:b/>
                <w:lang w:val="en-US" w:eastAsia="zh-CN"/>
              </w:rPr>
              <w:t>.</w:t>
            </w:r>
            <w:r>
              <w:rPr>
                <w:rFonts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215</w:t>
            </w:r>
            <w:r>
              <w:rPr>
                <w:rFonts w:hint="eastAsia" w:ascii="方正书宋_GBK" w:eastAsia="方正书宋_GBK"/>
                <w:b/>
                <w:lang w:val="en-US" w:eastAsia="zh-CN"/>
              </w:rPr>
              <w:t>.</w:t>
            </w:r>
            <w:r>
              <w:rPr>
                <w:rFonts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222</w:t>
            </w:r>
            <w:r>
              <w:rPr>
                <w:rFonts w:hint="eastAsia" w:ascii="方正书宋_GBK" w:eastAsia="方正书宋_GBK"/>
                <w:lang w:val="en-US" w:eastAsia="zh-CN"/>
              </w:rPr>
              <w:t>.</w:t>
            </w:r>
            <w:r>
              <w:rPr>
                <w:rFonts w:ascii="方正书宋_GBK" w:eastAsia="方正书宋_GBK"/>
              </w:rPr>
              <w:t>64</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222</w:t>
            </w:r>
            <w:r>
              <w:rPr>
                <w:rFonts w:hint="eastAsia" w:ascii="方正书宋_GBK" w:eastAsia="方正书宋_GBK"/>
                <w:lang w:val="en-US" w:eastAsia="zh-CN"/>
              </w:rPr>
              <w:t>.</w:t>
            </w:r>
            <w:r>
              <w:rPr>
                <w:rFonts w:ascii="方正书宋_GBK" w:eastAsia="方正书宋_GBK"/>
              </w:rPr>
              <w:t>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喷墨打印机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A0201060101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0.2</w:t>
            </w:r>
          </w:p>
        </w:tc>
        <w:tc>
          <w:tcPr>
            <w:tcW w:w="1134" w:type="dxa"/>
            <w:shd w:val="clear" w:color="auto" w:fill="auto"/>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2</w:t>
            </w:r>
          </w:p>
        </w:tc>
        <w:tc>
          <w:tcPr>
            <w:tcW w:w="1134" w:type="dxa"/>
            <w:shd w:val="clear" w:color="auto" w:fill="auto"/>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222</w:t>
            </w:r>
            <w:r>
              <w:rPr>
                <w:rFonts w:hint="eastAsia" w:ascii="方正书宋_GBK" w:eastAsia="方正书宋_GBK"/>
                <w:lang w:val="en-US" w:eastAsia="zh-CN"/>
              </w:rPr>
              <w:t>.</w:t>
            </w:r>
            <w:r>
              <w:rPr>
                <w:rFonts w:ascii="方正书宋_GBK" w:eastAsia="方正书宋_GBK"/>
              </w:rPr>
              <w:t>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222</w:t>
            </w:r>
            <w:r>
              <w:rPr>
                <w:rFonts w:hint="eastAsia" w:ascii="方正书宋_GBK" w:eastAsia="方正书宋_GBK"/>
                <w:lang w:val="en-US" w:eastAsia="zh-CN"/>
              </w:rPr>
              <w:t>.</w:t>
            </w:r>
            <w:r>
              <w:rPr>
                <w:rFonts w:ascii="方正书宋_GBK" w:eastAsia="方正书宋_GBK"/>
              </w:rPr>
              <w:t>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木制床类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A060104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张</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35</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0.25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8.75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8.75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222</w:t>
            </w:r>
            <w:r>
              <w:rPr>
                <w:rFonts w:hint="eastAsia" w:ascii="方正书宋_GBK" w:eastAsia="方正书宋_GBK"/>
                <w:lang w:val="en-US" w:eastAsia="zh-CN"/>
              </w:rPr>
              <w:t>.</w:t>
            </w:r>
            <w:r>
              <w:rPr>
                <w:rFonts w:ascii="方正书宋_GBK" w:eastAsia="方正书宋_GBK"/>
              </w:rPr>
              <w:t>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其他沙发类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A060499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张</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222.64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其他柜类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A060599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w:t>
            </w:r>
          </w:p>
        </w:tc>
        <w:tc>
          <w:tcPr>
            <w:tcW w:w="1134" w:type="dxa"/>
            <w:shd w:val="clear" w:color="auto" w:fill="auto"/>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222.64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木质架类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A060601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0.25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0.25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信息安全软件</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A02010805</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技术侦察取证设备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A032506</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17.8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17.8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17.8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技术侦察取证设备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A032506</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21.8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21.8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21.8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技术侦察取证设备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A032506</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ascii="方正书宋_GBK" w:eastAsia="方正书宋_GBK"/>
              </w:rPr>
              <w:t>7</w:t>
            </w:r>
            <w:r>
              <w:rPr>
                <w:rFonts w:hint="eastAsia" w:ascii="方正书宋_GBK" w:eastAsia="方正书宋_GBK"/>
                <w:lang w:val="en-US" w:eastAsia="zh-CN"/>
              </w:rPr>
              <w:t>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技术侦察取证设备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A032506</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技术侦察取证设备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A032506</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6</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6</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6</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办公场所修缮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房屋附属设施施工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B0115</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80</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80</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国产化电脑购置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国产化电脑购置</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ascii="方正书宋_GBK" w:eastAsia="方正书宋_GBK"/>
              </w:rPr>
              <w:t>2</w:t>
            </w:r>
            <w:r>
              <w:rPr>
                <w:rFonts w:hint="eastAsia" w:ascii="方正书宋_GBK" w:eastAsia="方正书宋_GBK"/>
                <w:lang w:val="en-US" w:eastAsia="zh-CN"/>
              </w:rPr>
              <w:t>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喷墨打印机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A0201060101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0.15</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3</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3</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国产化电脑购置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其他基础软件</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A0201080199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0.35</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7</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7</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乡镇纪委工作经费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0.4875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1.95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1.95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乡镇纪委工作经费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喷墨打印机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A0201060101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7</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巡察办工作经费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90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0.54</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2.7</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2.7</w:t>
            </w:r>
          </w:p>
        </w:tc>
        <w:tc>
          <w:tcPr>
            <w:tcW w:w="1134" w:type="dxa"/>
            <w:shd w:val="clear" w:color="auto" w:fill="auto"/>
            <w:vAlign w:val="center"/>
          </w:tcPr>
          <w:p>
            <w:pPr>
              <w:spacing w:line="300" w:lineRule="exact"/>
              <w:jc w:val="right"/>
              <w:rPr>
                <w:rFonts w:hint="default" w:ascii="方正书宋_GBK" w:eastAsia="方正书宋_GBK"/>
                <w:lang w:val="en-US"/>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outlineLvl w:val="0"/>
        <w:rPr>
          <w:rFonts w:ascii="Times New Roman" w:hAnsi="Times New Roman" w:eastAsia="仿宋" w:cs="Times New Roman"/>
          <w:sz w:val="32"/>
          <w:szCs w:val="32"/>
        </w:rPr>
      </w:pPr>
    </w:p>
    <w:p>
      <w:pPr>
        <w:ind w:firstLine="640"/>
        <w:rPr>
          <w:rFonts w:hint="eastAsia" w:ascii="黑体" w:hAnsi="黑体" w:eastAsia="黑体" w:cs="黑体"/>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lang w:eastAsia="zh-CN"/>
        </w:rPr>
        <w:t>中共</w:t>
      </w:r>
      <w:r>
        <w:rPr>
          <w:rFonts w:hint="eastAsia" w:ascii="Times New Roman" w:hAnsi="Times New Roman" w:eastAsia="仿宋" w:cs="仿宋"/>
          <w:color w:val="000000"/>
          <w:sz w:val="32"/>
          <w:szCs w:val="32"/>
        </w:rPr>
        <w:t>隆尧县纪委</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lang w:val="en-US" w:eastAsia="zh-CN"/>
        </w:rPr>
        <w:t>356.52</w:t>
      </w:r>
      <w:r>
        <w:rPr>
          <w:rFonts w:hint="eastAsia" w:ascii="Times New Roman" w:hAnsi="Times New Roman" w:eastAsia="仿宋" w:cs="仿宋"/>
          <w:color w:val="000000"/>
          <w:sz w:val="32"/>
          <w:szCs w:val="32"/>
        </w:rPr>
        <w:t>万元（详见下表），本年度拟购置固定资产总额为</w:t>
      </w:r>
      <w:r>
        <w:rPr>
          <w:rFonts w:hint="eastAsia" w:ascii="Times New Roman" w:hAnsi="Times New Roman" w:eastAsia="仿宋" w:cs="Times New Roman"/>
          <w:color w:val="000000"/>
          <w:sz w:val="32"/>
          <w:szCs w:val="32"/>
          <w:lang w:val="en-US" w:eastAsia="zh-CN"/>
        </w:rPr>
        <w:t>128.1</w:t>
      </w:r>
      <w:r>
        <w:rPr>
          <w:rFonts w:hint="eastAsia" w:ascii="Times New Roman" w:hAnsi="Times New Roman" w:eastAsia="仿宋" w:cs="仿宋"/>
          <w:color w:val="000000"/>
          <w:sz w:val="32"/>
          <w:szCs w:val="32"/>
        </w:rPr>
        <w:t>万元，主要为计算机、一体机、空调、打印机、办公家具、</w:t>
      </w:r>
      <w:r>
        <w:rPr>
          <w:rFonts w:hint="eastAsia" w:ascii="Times New Roman" w:hAnsi="Times New Roman" w:eastAsia="仿宋" w:cs="仿宋"/>
          <w:color w:val="000000"/>
          <w:sz w:val="32"/>
          <w:szCs w:val="32"/>
          <w:lang w:eastAsia="zh-CN"/>
        </w:rPr>
        <w:t>办公</w:t>
      </w:r>
      <w:r>
        <w:rPr>
          <w:rFonts w:hint="eastAsia" w:ascii="Times New Roman" w:hAnsi="Times New Roman" w:eastAsia="仿宋" w:cs="仿宋"/>
          <w:color w:val="000000"/>
          <w:sz w:val="32"/>
          <w:szCs w:val="32"/>
        </w:rPr>
        <w:t>设备等，已列入政府采购预算表，详见政府采购预算表。</w:t>
      </w:r>
    </w:p>
    <w:tbl>
      <w:tblPr>
        <w:tblStyle w:val="10"/>
        <w:tblW w:w="13482" w:type="dxa"/>
        <w:tblInd w:w="-106"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编制部门：隆尧县纪委</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lang w:val="en-US" w:eastAsia="zh-CN"/>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szCs w:val="22"/>
                <w:lang w:eastAsia="zh-CN"/>
              </w:rPr>
            </w:pPr>
            <w:r>
              <w:rPr>
                <w:rFonts w:hint="eastAsia" w:ascii="Times New Roman" w:hAnsi="Times New Roman" w:eastAsia="仿宋" w:cs="Times New Roman"/>
                <w:color w:val="000000"/>
                <w:kern w:val="0"/>
                <w:sz w:val="22"/>
                <w:szCs w:val="22"/>
                <w:lang w:val="en-US" w:eastAsia="zh-CN"/>
              </w:rPr>
              <w:t>356.52</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eastAsia="zh-CN"/>
              </w:rPr>
            </w:pPr>
            <w:r>
              <w:rPr>
                <w:rFonts w:hint="eastAsia" w:ascii="Times New Roman" w:hAnsi="Times New Roman" w:eastAsia="仿宋" w:cs="Times New Roman"/>
                <w:kern w:val="0"/>
                <w:sz w:val="22"/>
                <w:szCs w:val="22"/>
                <w:lang w:val="en-US" w:eastAsia="zh-CN"/>
              </w:rPr>
              <w:t>111.57</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eastAsia="zh-CN"/>
              </w:rPr>
            </w:pPr>
            <w:r>
              <w:rPr>
                <w:rFonts w:hint="eastAsia" w:ascii="Times New Roman" w:hAnsi="Times New Roman" w:eastAsia="仿宋" w:cs="Times New Roman"/>
                <w:kern w:val="0"/>
                <w:sz w:val="22"/>
                <w:szCs w:val="22"/>
                <w:lang w:val="en-US" w:eastAsia="zh-CN"/>
              </w:rPr>
              <w:t>244.95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bl>
    <w:p>
      <w:pPr>
        <w:autoSpaceDE w:val="0"/>
        <w:autoSpaceDN w:val="0"/>
        <w:adjustRightInd w:val="0"/>
        <w:ind w:firstLine="640" w:firstLineChars="200"/>
        <w:jc w:val="left"/>
        <w:rPr>
          <w:rFonts w:hint="eastAsia" w:ascii="黑体" w:hAnsi="黑体" w:eastAsia="黑体" w:cs="黑体"/>
          <w:sz w:val="32"/>
          <w:szCs w:val="32"/>
        </w:rPr>
      </w:pPr>
    </w:p>
    <w:p>
      <w:pPr>
        <w:ind w:firstLine="640"/>
        <w:rPr>
          <w:rFonts w:hint="eastAsia" w:ascii="黑体" w:hAnsi="黑体" w:eastAsia="黑体" w:cs="黑体"/>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级财政预算管理的“三公”经费，是指</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0"/>
        <w:rPr>
          <w:rFonts w:hint="eastAsia" w:ascii="黑体" w:hAnsi="黑体" w:eastAsia="黑体" w:cs="黑体"/>
          <w:sz w:val="32"/>
          <w:szCs w:val="32"/>
        </w:rPr>
      </w:pPr>
      <w:r>
        <w:rPr>
          <w:rFonts w:hint="eastAsia" w:ascii="黑体" w:hAnsi="黑体" w:eastAsia="黑体" w:cs="黑体"/>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SimSun-ExtB"/>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K">
    <w:panose1 w:val="03000509000000000000"/>
    <w:charset w:val="86"/>
    <w:family w:val="roman"/>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pBdr>
        <w:top w:val="none" w:color="auto" w:sz="0" w:space="0"/>
        <w:left w:val="none" w:color="auto" w:sz="0" w:space="0"/>
        <w:bottom w:val="none" w:color="auto" w:sz="0" w:space="0"/>
        <w:right w:val="none" w:color="auto" w:sz="0" w:space="0"/>
        <w:between w:val="none" w:color="auto" w:sz="0" w:space="0"/>
      </w:pBdr>
      <w:spacing w:after="0" w:afterLines="0"/>
    </w:pPr>
    <w:r>
      <w:fldChar w:fldCharType="begin"/>
    </w:r>
    <w:r>
      <w:rPr>
        <w:rStyle w:val="8"/>
      </w:rPr>
      <w:instrText xml:space="preserve"> PAGE  </w:instrText>
    </w:r>
    <w:r>
      <w:fldChar w:fldCharType="separate"/>
    </w:r>
    <w:r>
      <w:rPr>
        <w:rStyle w:val="8"/>
      </w:rPr>
      <w:t>3</w:t>
    </w:r>
    <w:r>
      <w:fldChar w:fldCharType="end"/>
    </w:r>
  </w:p>
  <w:p>
    <w:pPr>
      <w:pStyle w:val="2"/>
      <w:ind w:right="360" w:firstLine="360" w:firstLineChars="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documentProtection w:enforcement="0"/>
  <w:defaultTabStop w:val="420"/>
  <w:doNotHyphenateCaps/>
  <w:drawingGridHorizontalSpacing w:val="105"/>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CC4"/>
    <w:rsid w:val="0000235E"/>
    <w:rsid w:val="00183FE1"/>
    <w:rsid w:val="00192304"/>
    <w:rsid w:val="001B23C6"/>
    <w:rsid w:val="002E5AFD"/>
    <w:rsid w:val="003F4292"/>
    <w:rsid w:val="0046545D"/>
    <w:rsid w:val="004F3D8C"/>
    <w:rsid w:val="007941F0"/>
    <w:rsid w:val="00A5050A"/>
    <w:rsid w:val="00C40AA4"/>
    <w:rsid w:val="00C67CC4"/>
    <w:rsid w:val="00EC3709"/>
    <w:rsid w:val="00F73D27"/>
    <w:rsid w:val="00FB11BE"/>
    <w:rsid w:val="01B60E83"/>
    <w:rsid w:val="02D17B65"/>
    <w:rsid w:val="02E35EE8"/>
    <w:rsid w:val="03B905F2"/>
    <w:rsid w:val="0AF84D56"/>
    <w:rsid w:val="0E497A99"/>
    <w:rsid w:val="110D6473"/>
    <w:rsid w:val="117D2807"/>
    <w:rsid w:val="11D2522E"/>
    <w:rsid w:val="156C08B2"/>
    <w:rsid w:val="16844820"/>
    <w:rsid w:val="19B541EB"/>
    <w:rsid w:val="1CAE3224"/>
    <w:rsid w:val="1DA970AA"/>
    <w:rsid w:val="1F007F89"/>
    <w:rsid w:val="1F9A715B"/>
    <w:rsid w:val="23A01FD9"/>
    <w:rsid w:val="2C5D11DB"/>
    <w:rsid w:val="31744EEF"/>
    <w:rsid w:val="31C65502"/>
    <w:rsid w:val="358B1DA9"/>
    <w:rsid w:val="35B66B21"/>
    <w:rsid w:val="36056DB2"/>
    <w:rsid w:val="38DD203D"/>
    <w:rsid w:val="3911461A"/>
    <w:rsid w:val="391E7700"/>
    <w:rsid w:val="3A196A93"/>
    <w:rsid w:val="3A383081"/>
    <w:rsid w:val="3BE12D6F"/>
    <w:rsid w:val="3CF647CC"/>
    <w:rsid w:val="3DF22871"/>
    <w:rsid w:val="3E050D45"/>
    <w:rsid w:val="474C5990"/>
    <w:rsid w:val="495A4E81"/>
    <w:rsid w:val="49806BCC"/>
    <w:rsid w:val="4B9877F6"/>
    <w:rsid w:val="4D9A068A"/>
    <w:rsid w:val="4F2973F1"/>
    <w:rsid w:val="52291F20"/>
    <w:rsid w:val="52BB7FC3"/>
    <w:rsid w:val="549E302C"/>
    <w:rsid w:val="589F57E3"/>
    <w:rsid w:val="59A1233C"/>
    <w:rsid w:val="5A576ECE"/>
    <w:rsid w:val="5A8539F4"/>
    <w:rsid w:val="5A88760E"/>
    <w:rsid w:val="5CBF5E78"/>
    <w:rsid w:val="5DC92643"/>
    <w:rsid w:val="618E0C99"/>
    <w:rsid w:val="621250A2"/>
    <w:rsid w:val="64E413B5"/>
    <w:rsid w:val="64FE79DB"/>
    <w:rsid w:val="66040636"/>
    <w:rsid w:val="68BD4F77"/>
    <w:rsid w:val="68CC63FE"/>
    <w:rsid w:val="6B231DDA"/>
    <w:rsid w:val="6C2E39A3"/>
    <w:rsid w:val="6D0E067D"/>
    <w:rsid w:val="6D341725"/>
    <w:rsid w:val="6F3B255C"/>
    <w:rsid w:val="76835E4B"/>
    <w:rsid w:val="7A924E16"/>
    <w:rsid w:val="7C5B528D"/>
    <w:rsid w:val="7F0B34A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7">
    <w:name w:val="Default Paragraph Font"/>
    <w:semiHidden/>
    <w:qFormat/>
    <w:uiPriority w:val="99"/>
  </w:style>
  <w:style w:type="table" w:default="1" w:styleId="10">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8">
    <w:name w:val="page number"/>
    <w:basedOn w:val="7"/>
    <w:unhideWhenUsed/>
    <w:qFormat/>
    <w:uiPriority w:val="99"/>
  </w:style>
  <w:style w:type="character" w:styleId="9">
    <w:name w:val="footnote reference"/>
    <w:basedOn w:val="7"/>
    <w:semiHidden/>
    <w:qFormat/>
    <w:uiPriority w:val="99"/>
    <w:rPr>
      <w:vertAlign w:val="superscript"/>
    </w:rPr>
  </w:style>
  <w:style w:type="table" w:styleId="11">
    <w:name w:val="Table Grid"/>
    <w:basedOn w:val="10"/>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2">
    <w:name w:val="Footer Char"/>
    <w:basedOn w:val="7"/>
    <w:link w:val="2"/>
    <w:semiHidden/>
    <w:qFormat/>
    <w:locked/>
    <w:uiPriority w:val="99"/>
    <w:rPr>
      <w:rFonts w:ascii="Times New Roman" w:hAnsi="Times New Roman" w:eastAsia="宋体" w:cs="Times New Roman"/>
      <w:sz w:val="18"/>
      <w:szCs w:val="18"/>
    </w:rPr>
  </w:style>
  <w:style w:type="character" w:customStyle="1" w:styleId="13">
    <w:name w:val="Header Char"/>
    <w:basedOn w:val="7"/>
    <w:link w:val="3"/>
    <w:semiHidden/>
    <w:qFormat/>
    <w:locked/>
    <w:uiPriority w:val="99"/>
    <w:rPr>
      <w:rFonts w:ascii="Times New Roman" w:hAnsi="Times New Roman" w:eastAsia="宋体" w:cs="Times New Roman"/>
      <w:sz w:val="18"/>
      <w:szCs w:val="18"/>
    </w:rPr>
  </w:style>
  <w:style w:type="character" w:customStyle="1" w:styleId="14">
    <w:name w:val="Footnote Text Char"/>
    <w:basedOn w:val="7"/>
    <w:link w:val="5"/>
    <w:semiHidden/>
    <w:qFormat/>
    <w:uiPriority w:val="99"/>
    <w:rPr>
      <w:rFonts w:ascii="Calibri" w:hAnsi="Calibri" w:cs="Calibri"/>
      <w:sz w:val="18"/>
      <w:szCs w:val="18"/>
    </w:rPr>
  </w:style>
  <w:style w:type="paragraph" w:customStyle="1" w:styleId="15">
    <w:name w:val="Char"/>
    <w:basedOn w:val="1"/>
    <w:qFormat/>
    <w:uiPriority w:val="99"/>
    <w:rPr>
      <w:rFonts w:ascii="Times New Roman" w:hAnsi="Times New Roman" w:cs="Times New Roman"/>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13</Pages>
  <Words>911</Words>
  <Characters>5198</Characters>
  <Lines>0</Lines>
  <Paragraphs>0</Paragraphs>
  <TotalTime>22</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Administrator</cp:lastModifiedBy>
  <cp:lastPrinted>2017-02-10T09:57:00Z</cp:lastPrinted>
  <dcterms:modified xsi:type="dcterms:W3CDTF">2022-09-08T08:30:21Z</dcterms:modified>
  <cp:revision>7</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