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中国人民政治协商会议隆尧县委员会</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21</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ascii="仿宋" w:hAnsi="仿宋" w:eastAsia="仿宋" w:cs="Times New Roman"/>
          <w:sz w:val="32"/>
          <w:szCs w:val="32"/>
        </w:rPr>
        <w:t>按照</w:t>
      </w:r>
      <w:r>
        <w:rPr>
          <w:rFonts w:hint="eastAsia" w:ascii="仿宋" w:hAnsi="仿宋" w:eastAsia="仿宋" w:cs="Times New Roman"/>
          <w:sz w:val="32"/>
          <w:szCs w:val="32"/>
        </w:rPr>
        <w:t>《预算法》、</w:t>
      </w:r>
      <w:r>
        <w:rPr>
          <w:rFonts w:ascii="仿宋" w:hAnsi="仿宋" w:eastAsia="仿宋" w:cs="Times New Roman"/>
          <w:sz w:val="32"/>
          <w:szCs w:val="32"/>
        </w:rPr>
        <w:t>《地方预决算公开操作规程》和《河北省省级预算公开办法》</w:t>
      </w:r>
      <w:r>
        <w:rPr>
          <w:rFonts w:hint="eastAsia" w:ascii="仿宋" w:hAnsi="仿宋" w:eastAsia="仿宋" w:cs="Times New Roman"/>
          <w:sz w:val="32"/>
          <w:szCs w:val="32"/>
        </w:rPr>
        <w:t>规定</w:t>
      </w:r>
      <w:r>
        <w:rPr>
          <w:rFonts w:ascii="仿宋" w:hAnsi="仿宋" w:eastAsia="仿宋" w:cs="Times New Roman"/>
          <w:sz w:val="32"/>
          <w:szCs w:val="32"/>
        </w:rPr>
        <w:t>，现将</w:t>
      </w:r>
      <w:r>
        <w:rPr>
          <w:rFonts w:hint="eastAsia" w:ascii="仿宋" w:hAnsi="仿宋" w:eastAsia="仿宋" w:cs="Times New Roman"/>
          <w:sz w:val="32"/>
          <w:szCs w:val="32"/>
        </w:rPr>
        <w:t>隆尧县政协</w:t>
      </w:r>
      <w:r>
        <w:rPr>
          <w:rFonts w:ascii="仿宋" w:hAnsi="仿宋" w:eastAsia="仿宋" w:cs="Times New Roman"/>
          <w:sz w:val="32"/>
          <w:szCs w:val="32"/>
        </w:rPr>
        <w:t>20</w:t>
      </w:r>
      <w:r>
        <w:rPr>
          <w:rFonts w:hint="eastAsia" w:ascii="仿宋" w:hAnsi="仿宋" w:eastAsia="仿宋" w:cs="Times New Roman"/>
          <w:sz w:val="32"/>
          <w:szCs w:val="32"/>
        </w:rPr>
        <w:t>21</w:t>
      </w:r>
      <w:r>
        <w:rPr>
          <w:rFonts w:ascii="仿宋" w:hAnsi="仿宋"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仿宋" w:hAnsi="仿宋" w:eastAsia="仿宋" w:cs="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仿宋"/>
          <w:sz w:val="32"/>
          <w:szCs w:val="32"/>
        </w:rPr>
        <w:t>中国人民政治协商会议隆尧县委员会的主要职责是政治协商和民主监督，组织参加政协的各团体和各界人士</w:t>
      </w:r>
      <w:r>
        <w:fldChar w:fldCharType="begin"/>
      </w:r>
      <w:r>
        <w:instrText xml:space="preserve"> HYPERLINK "https://www.baidu.com/s?wd=%E5%8F%82%E6%94%BF%E8%AE%AE%E6%94%BF&amp;tn=SE_PcZhidaonwhc_ngpagmjz&amp;rsv_dl=gh_pc_zhidao" \t "https://zhidao.baidu.com/question/_blank" </w:instrText>
      </w:r>
      <w:r>
        <w:fldChar w:fldCharType="separate"/>
      </w:r>
      <w:r>
        <w:rPr>
          <w:rFonts w:hint="eastAsia" w:ascii="仿宋" w:hAnsi="仿宋" w:eastAsia="仿宋" w:cs="仿宋"/>
          <w:sz w:val="32"/>
          <w:szCs w:val="32"/>
        </w:rPr>
        <w:t>参政议政</w:t>
      </w:r>
      <w:r>
        <w:rPr>
          <w:rFonts w:hint="eastAsia" w:ascii="仿宋" w:hAnsi="仿宋" w:eastAsia="仿宋" w:cs="仿宋"/>
          <w:sz w:val="32"/>
          <w:szCs w:val="32"/>
        </w:rPr>
        <w:fldChar w:fldCharType="end"/>
      </w:r>
      <w:r>
        <w:rPr>
          <w:rFonts w:hint="eastAsia" w:ascii="仿宋" w:hAnsi="仿宋" w:eastAsia="仿宋" w:cs="仿宋"/>
          <w:sz w:val="32"/>
          <w:szCs w:val="32"/>
        </w:rPr>
        <w:t>。</w:t>
      </w:r>
    </w:p>
    <w:p>
      <w:pPr>
        <w:ind w:firstLine="640" w:firstLineChars="200"/>
        <w:rPr>
          <w:rFonts w:ascii="仿宋" w:hAnsi="仿宋" w:eastAsia="仿宋" w:cs="仿宋"/>
          <w:sz w:val="32"/>
          <w:szCs w:val="32"/>
        </w:rPr>
      </w:pPr>
      <w:r>
        <w:rPr>
          <w:rFonts w:hint="eastAsia" w:ascii="仿宋" w:hAnsi="仿宋" w:eastAsia="仿宋" w:cs="仿宋"/>
          <w:sz w:val="32"/>
          <w:szCs w:val="32"/>
        </w:rPr>
        <w:t>（一）政治协商，就是对全县的大政方针以及政治、经济、文化和社会生活中的重要问题在决策之前进行协商和就决策执行过程中的重要问题进行协商。</w:t>
      </w:r>
    </w:p>
    <w:p>
      <w:pPr>
        <w:ind w:firstLine="640" w:firstLineChars="200"/>
        <w:rPr>
          <w:rFonts w:ascii="仿宋" w:hAnsi="仿宋" w:eastAsia="仿宋" w:cs="仿宋"/>
          <w:sz w:val="32"/>
          <w:szCs w:val="32"/>
        </w:rPr>
      </w:pPr>
      <w:r>
        <w:rPr>
          <w:rFonts w:hint="eastAsia" w:ascii="仿宋" w:hAnsi="仿宋" w:eastAsia="仿宋" w:cs="仿宋"/>
          <w:sz w:val="32"/>
          <w:szCs w:val="32"/>
        </w:rPr>
        <w:t>（二）民主监督，就是对</w:t>
      </w:r>
      <w:r>
        <w:fldChar w:fldCharType="begin"/>
      </w:r>
      <w:r>
        <w:instrText xml:space="preserve"> HYPERLINK "https://www.baidu.com/s?wd=%E4%B8%AD%E5%85%B1%E4%B8%AD%E5%A4%AE&amp;tn=SE_PcZhidaonwhc_ngpagmjz&amp;rsv_dl=gh_pc_zhidao" \t "https://zhidao.baidu.com/question/_blank" </w:instrText>
      </w:r>
      <w:r>
        <w:fldChar w:fldCharType="separate"/>
      </w:r>
      <w:r>
        <w:rPr>
          <w:rFonts w:hint="eastAsia" w:ascii="仿宋" w:hAnsi="仿宋" w:eastAsia="仿宋" w:cs="仿宋"/>
          <w:sz w:val="32"/>
          <w:szCs w:val="32"/>
        </w:rPr>
        <w:t>党的</w:t>
      </w:r>
      <w:r>
        <w:rPr>
          <w:rFonts w:hint="eastAsia" w:ascii="仿宋" w:hAnsi="仿宋" w:eastAsia="仿宋" w:cs="仿宋"/>
          <w:sz w:val="32"/>
          <w:szCs w:val="32"/>
        </w:rPr>
        <w:fldChar w:fldCharType="end"/>
      </w:r>
      <w:r>
        <w:rPr>
          <w:rFonts w:hint="eastAsia" w:ascii="仿宋" w:hAnsi="仿宋" w:eastAsia="仿宋" w:cs="仿宋"/>
          <w:sz w:val="32"/>
          <w:szCs w:val="32"/>
        </w:rPr>
        <w:t>重大方针、政策的贯彻执行情况，对国家机关及其工作人员在履行职责、</w:t>
      </w:r>
      <w:r>
        <w:fldChar w:fldCharType="begin"/>
      </w:r>
      <w:r>
        <w:instrText xml:space="preserve"> HYPERLINK "https://www.baidu.com/s?wd=%E9%81%B5%E7%BA%AA%E5%AE%88%E6%B3%95&amp;tn=SE_PcZhidaonwhc_ngpagmjz&amp;rsv_dl=gh_pc_zhidao" \t "https://zhidao.baidu.com/question/_blank" </w:instrText>
      </w:r>
      <w:r>
        <w:fldChar w:fldCharType="separate"/>
      </w:r>
      <w:r>
        <w:rPr>
          <w:rFonts w:hint="eastAsia" w:ascii="仿宋" w:hAnsi="仿宋" w:eastAsia="仿宋" w:cs="仿宋"/>
          <w:sz w:val="32"/>
          <w:szCs w:val="32"/>
        </w:rPr>
        <w:t>遵纪守法</w:t>
      </w:r>
      <w:r>
        <w:rPr>
          <w:rFonts w:hint="eastAsia" w:ascii="仿宋" w:hAnsi="仿宋" w:eastAsia="仿宋" w:cs="仿宋"/>
          <w:sz w:val="32"/>
          <w:szCs w:val="32"/>
        </w:rPr>
        <w:fldChar w:fldCharType="end"/>
      </w:r>
      <w:r>
        <w:rPr>
          <w:rFonts w:hint="eastAsia" w:ascii="仿宋" w:hAnsi="仿宋" w:eastAsia="仿宋" w:cs="仿宋"/>
          <w:sz w:val="32"/>
          <w:szCs w:val="32"/>
        </w:rPr>
        <w:t>、为政清廉等方面的情况通过建议和批评进行监督。</w:t>
      </w:r>
    </w:p>
    <w:p>
      <w:pPr>
        <w:ind w:firstLine="640" w:firstLineChars="200"/>
        <w:rPr>
          <w:rFonts w:ascii="仿宋" w:hAnsi="仿宋" w:eastAsia="仿宋" w:cs="仿宋"/>
          <w:sz w:val="32"/>
          <w:szCs w:val="32"/>
        </w:rPr>
      </w:pPr>
      <w:r>
        <w:rPr>
          <w:rFonts w:hint="eastAsia" w:ascii="仿宋" w:hAnsi="仿宋" w:eastAsia="仿宋" w:cs="仿宋"/>
          <w:sz w:val="32"/>
          <w:szCs w:val="32"/>
        </w:rPr>
        <w:t>（三）</w:t>
      </w:r>
      <w:r>
        <w:fldChar w:fldCharType="begin"/>
      </w:r>
      <w:r>
        <w:instrText xml:space="preserve"> HYPERLINK "https://www.baidu.com/s?wd=%E5%8F%82%E6%94%BF%E8%AE%AE%E6%94%BF&amp;tn=SE_PcZhidaonwhc_ngpagmjz&amp;rsv_dl=gh_pc_zhidao" \t "https://zhidao.baidu.com/question/_blank" </w:instrText>
      </w:r>
      <w:r>
        <w:fldChar w:fldCharType="separate"/>
      </w:r>
      <w:r>
        <w:rPr>
          <w:rFonts w:hint="eastAsia" w:ascii="仿宋" w:hAnsi="仿宋" w:eastAsia="仿宋" w:cs="仿宋"/>
          <w:sz w:val="32"/>
          <w:szCs w:val="32"/>
        </w:rPr>
        <w:t>参政议政</w:t>
      </w:r>
      <w:r>
        <w:rPr>
          <w:rFonts w:hint="eastAsia" w:ascii="仿宋" w:hAnsi="仿宋" w:eastAsia="仿宋" w:cs="仿宋"/>
          <w:sz w:val="32"/>
          <w:szCs w:val="32"/>
        </w:rPr>
        <w:fldChar w:fldCharType="end"/>
      </w:r>
      <w:r>
        <w:rPr>
          <w:rFonts w:hint="eastAsia" w:ascii="仿宋" w:hAnsi="仿宋" w:eastAsia="仿宋" w:cs="仿宋"/>
          <w:sz w:val="32"/>
          <w:szCs w:val="32"/>
        </w:rPr>
        <w:t>，就是政治协商和民主监督的拓展和延伸，其内容和形式除与政治协商和民主监督相同的以外，还包括选择人民群众关心、党政部门重视、政协有条件做的课题，组织调查和研究，积极主动地向党政领导机关提出建设性的意见；通过多种方式，广开言路，广开才路，充分发挥委员专长和作用，为改革开放和</w:t>
      </w:r>
      <w:r>
        <w:fldChar w:fldCharType="begin"/>
      </w:r>
      <w:r>
        <w:instrText xml:space="preserve"> HYPERLINK "https://www.baidu.com/s?wd=%E7%A4%BE%E4%BC%9A%E4%B8%BB%E4%B9%89%E7%8E%B0%E4%BB%A3%E5%8C%96%E5%BB%BA%E8%AE%BE&amp;tn=SE_PcZhidaonwhc_ngpagmjz&amp;rsv_dl=gh_pc_zhidao" \t "https://zhidao.baidu.com/question/_blank" </w:instrText>
      </w:r>
      <w:r>
        <w:fldChar w:fldCharType="separate"/>
      </w:r>
      <w:r>
        <w:rPr>
          <w:rFonts w:hint="eastAsia" w:ascii="仿宋" w:hAnsi="仿宋" w:eastAsia="仿宋" w:cs="仿宋"/>
          <w:sz w:val="32"/>
          <w:szCs w:val="32"/>
        </w:rPr>
        <w:t>社会主义现代化建设</w:t>
      </w:r>
      <w:r>
        <w:rPr>
          <w:rFonts w:hint="eastAsia" w:ascii="仿宋" w:hAnsi="仿宋" w:eastAsia="仿宋" w:cs="仿宋"/>
          <w:sz w:val="32"/>
          <w:szCs w:val="32"/>
        </w:rPr>
        <w:fldChar w:fldCharType="end"/>
      </w:r>
      <w:r>
        <w:rPr>
          <w:rFonts w:hint="eastAsia" w:ascii="仿宋" w:hAnsi="仿宋" w:eastAsia="仿宋" w:cs="仿宋"/>
          <w:sz w:val="32"/>
          <w:szCs w:val="32"/>
        </w:rPr>
        <w:t>献计献策等。</w:t>
      </w:r>
    </w:p>
    <w:p>
      <w:pPr>
        <w:ind w:firstLine="640" w:firstLineChars="200"/>
        <w:rPr>
          <w:rFonts w:ascii="仿宋" w:hAnsi="仿宋" w:eastAsia="仿宋" w:cs="仿宋"/>
          <w:kern w:val="0"/>
          <w:sz w:val="32"/>
          <w:szCs w:val="32"/>
        </w:rPr>
      </w:pPr>
      <w:r>
        <w:rPr>
          <w:rFonts w:hint="eastAsia" w:ascii="仿宋" w:hAnsi="仿宋" w:eastAsia="仿宋" w:cs="仿宋"/>
          <w:sz w:val="32"/>
          <w:szCs w:val="32"/>
        </w:rPr>
        <w:t>（四）政协事务管理，县政协自身建设、理论研究以及宣传工作，与县内外有关单位的联系协调；负责机关外事工作，机构编制、人事任免、人员培训、考核奖惩、工资福利，后勤保障、经费资产管理、基建和审计，接待、离退休人员服务，承办县政协主席、副主席、秘书长交办的其他事项。</w:t>
      </w:r>
    </w:p>
    <w:p>
      <w:pPr>
        <w:ind w:firstLine="640" w:firstLineChars="200"/>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tbl>
      <w:tblPr>
        <w:tblStyle w:val="10"/>
        <w:tblW w:w="832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43"/>
        <w:gridCol w:w="1561"/>
        <w:gridCol w:w="1701"/>
        <w:gridCol w:w="212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8" w:hRule="atLeast"/>
          <w:jc w:val="center"/>
        </w:trPr>
        <w:tc>
          <w:tcPr>
            <w:tcW w:w="2943"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Times New Roman" w:hAnsi="Times New Roman" w:eastAsia="方正书宋_GBK" w:cs="方正书宋_GBK"/>
                <w:bCs/>
                <w:sz w:val="24"/>
                <w:szCs w:val="24"/>
              </w:rPr>
              <w:t>单位名称</w:t>
            </w:r>
          </w:p>
        </w:tc>
        <w:tc>
          <w:tcPr>
            <w:tcW w:w="1561"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Times New Roman" w:hAnsi="Times New Roman" w:eastAsia="方正书宋_GBK" w:cs="方正书宋_GBK"/>
                <w:bCs/>
                <w:sz w:val="24"/>
                <w:szCs w:val="24"/>
              </w:rPr>
              <w:t>单位性质</w:t>
            </w:r>
          </w:p>
        </w:tc>
        <w:tc>
          <w:tcPr>
            <w:tcW w:w="1701"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Times New Roman" w:hAnsi="Times New Roman" w:eastAsia="方正书宋_GBK" w:cs="方正书宋_GBK"/>
                <w:bCs/>
                <w:sz w:val="24"/>
                <w:szCs w:val="24"/>
              </w:rPr>
              <w:t>单位规格</w:t>
            </w:r>
          </w:p>
        </w:tc>
        <w:tc>
          <w:tcPr>
            <w:tcW w:w="2124"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Times New Roman" w:hAnsi="Times New Roman" w:eastAsia="方正书宋_GBK" w:cs="方正书宋_GBK"/>
                <w:bCs/>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6" w:hRule="atLeast"/>
          <w:jc w:val="center"/>
        </w:trPr>
        <w:tc>
          <w:tcPr>
            <w:tcW w:w="2943"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仿宋_GB2312" w:hAnsi="仿宋_GB2312" w:eastAsia="仿宋_GB2312" w:cs="仿宋_GB2312"/>
                <w:bCs/>
                <w:kern w:val="0"/>
                <w:sz w:val="24"/>
                <w:szCs w:val="24"/>
              </w:rPr>
              <w:t>隆尧县政协（机关）</w:t>
            </w:r>
          </w:p>
        </w:tc>
        <w:tc>
          <w:tcPr>
            <w:tcW w:w="1561"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仿宋_GB2312" w:hAnsi="仿宋_GB2312" w:eastAsia="仿宋_GB2312" w:cs="仿宋_GB2312"/>
                <w:bCs/>
                <w:kern w:val="0"/>
                <w:sz w:val="24"/>
                <w:szCs w:val="24"/>
              </w:rPr>
              <w:t>行政</w:t>
            </w:r>
          </w:p>
        </w:tc>
        <w:tc>
          <w:tcPr>
            <w:tcW w:w="1701"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仿宋_GB2312" w:hAnsi="仿宋_GB2312" w:eastAsia="仿宋_GB2312" w:cs="仿宋_GB2312"/>
                <w:bCs/>
                <w:kern w:val="0"/>
                <w:sz w:val="24"/>
                <w:szCs w:val="24"/>
              </w:rPr>
              <w:t>正处级</w:t>
            </w:r>
          </w:p>
        </w:tc>
        <w:tc>
          <w:tcPr>
            <w:tcW w:w="2124"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仿宋_GB2312" w:hAnsi="仿宋_GB2312" w:eastAsia="仿宋_GB2312" w:cs="仿宋_GB2312"/>
                <w:bCs/>
                <w:kern w:val="0"/>
                <w:sz w:val="24"/>
                <w:szCs w:val="2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8" w:hRule="atLeast"/>
          <w:jc w:val="center"/>
        </w:trPr>
        <w:tc>
          <w:tcPr>
            <w:tcW w:w="2943"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仿宋_GB2312" w:hAnsi="仿宋_GB2312" w:eastAsia="仿宋_GB2312" w:cs="仿宋_GB2312"/>
                <w:bCs/>
                <w:kern w:val="0"/>
                <w:sz w:val="24"/>
                <w:szCs w:val="24"/>
              </w:rPr>
              <w:t>…</w:t>
            </w:r>
          </w:p>
        </w:tc>
        <w:tc>
          <w:tcPr>
            <w:tcW w:w="1561"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仿宋_GB2312" w:hAnsi="仿宋_GB2312" w:eastAsia="仿宋_GB2312" w:cs="仿宋_GB2312"/>
                <w:bCs/>
                <w:kern w:val="0"/>
                <w:sz w:val="24"/>
                <w:szCs w:val="24"/>
              </w:rPr>
              <w:t>…</w:t>
            </w:r>
          </w:p>
        </w:tc>
        <w:tc>
          <w:tcPr>
            <w:tcW w:w="1701"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仿宋_GB2312" w:hAnsi="仿宋_GB2312" w:eastAsia="仿宋_GB2312" w:cs="仿宋_GB2312"/>
                <w:bCs/>
                <w:kern w:val="0"/>
                <w:sz w:val="24"/>
                <w:szCs w:val="24"/>
              </w:rPr>
              <w:t>…</w:t>
            </w:r>
          </w:p>
        </w:tc>
        <w:tc>
          <w:tcPr>
            <w:tcW w:w="2124" w:type="dxa"/>
            <w:tcBorders>
              <w:top w:val="single" w:color="000000" w:sz="4" w:space="0"/>
              <w:left w:val="single" w:color="000000" w:sz="4" w:space="0"/>
              <w:bottom w:val="single" w:color="000000" w:sz="4" w:space="0"/>
              <w:right w:val="single" w:color="000000" w:sz="4" w:space="0"/>
            </w:tcBorders>
          </w:tcPr>
          <w:p>
            <w:pPr>
              <w:autoSpaceDE w:val="0"/>
              <w:autoSpaceDN w:val="0"/>
              <w:adjustRightInd w:val="0"/>
              <w:spacing w:line="600" w:lineRule="exact"/>
              <w:ind w:firstLine="200"/>
              <w:jc w:val="left"/>
              <w:rPr>
                <w:rFonts w:ascii="仿宋_GB2312" w:hAnsi="仿宋_GB2312" w:eastAsia="仿宋_GB2312" w:cs="仿宋_GB2312"/>
                <w:bCs/>
                <w:kern w:val="0"/>
                <w:sz w:val="24"/>
                <w:szCs w:val="24"/>
              </w:rPr>
            </w:pPr>
            <w:r>
              <w:rPr>
                <w:rFonts w:hint="eastAsia" w:ascii="仿宋_GB2312" w:hAnsi="仿宋_GB2312" w:eastAsia="仿宋_GB2312" w:cs="仿宋_GB2312"/>
                <w:bCs/>
                <w:kern w:val="0"/>
                <w:sz w:val="24"/>
                <w:szCs w:val="24"/>
              </w:rPr>
              <w:t>…</w:t>
            </w:r>
          </w:p>
        </w:tc>
      </w:tr>
    </w:tbl>
    <w:p>
      <w:pPr>
        <w:ind w:firstLine="643" w:firstLineChars="200"/>
        <w:rPr>
          <w:rFonts w:ascii="仿宋" w:hAnsi="仿宋" w:eastAsia="仿宋" w:cs="Times New Roman"/>
          <w:b/>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autoSpaceDE w:val="0"/>
        <w:autoSpaceDN w:val="0"/>
        <w:spacing w:line="600" w:lineRule="exact"/>
        <w:ind w:firstLine="640" w:firstLineChars="200"/>
        <w:rPr>
          <w:rFonts w:ascii="仿宋_GB2312" w:hAnsi="仿宋_GB2312" w:eastAsia="仿宋_GB2312" w:cs="仿宋_GB2312"/>
          <w:color w:val="000000"/>
          <w:sz w:val="32"/>
          <w:szCs w:val="20"/>
        </w:rPr>
      </w:pPr>
      <w:r>
        <w:rPr>
          <w:rFonts w:hint="eastAsia" w:ascii="仿宋_GB2312" w:hAnsi="仿宋_GB2312" w:eastAsia="仿宋_GB2312" w:cs="仿宋_GB2312"/>
          <w:color w:val="000000"/>
          <w:sz w:val="32"/>
          <w:szCs w:val="20"/>
        </w:rPr>
        <w:t>按照预算管理有关规定，目前我单位部门预算的编制实行综合预算制度，即全部收入和支出都反映预算中。隆尧县政协收支包含在部门预算中。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反映本部门当年全部收入。2021年预算收入237.21万元，其中：一般公共预算收入237.21万元，基金预算收入0万元，财政专户核拨收入0万元，其他来源收入0万元。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600" w:lineRule="exact"/>
        <w:ind w:firstLine="640" w:firstLineChars="200"/>
        <w:jc w:val="left"/>
        <w:rPr>
          <w:rFonts w:ascii="仿宋_GB2312" w:hAnsi="仿宋_GB2312" w:eastAsia="仿宋_GB2312" w:cs="仿宋_GB2312"/>
          <w:color w:val="000000"/>
          <w:sz w:val="32"/>
          <w:szCs w:val="20"/>
        </w:rPr>
      </w:pPr>
      <w:r>
        <w:rPr>
          <w:rFonts w:hint="eastAsia" w:ascii="Times New Roman" w:hAnsi="Times New Roman" w:eastAsia="仿宋" w:cs="Times New Roman"/>
          <w:sz w:val="32"/>
          <w:szCs w:val="32"/>
        </w:rPr>
        <w:t>收支预算总表支出栏、基本支出表、项目支出表按经济分类和支出功能分类科目编制，反映隆尧县政协年度部门预算中支出预算的总体情况。2021年部门支出预算为237.21万元，</w:t>
      </w:r>
      <w:r>
        <w:rPr>
          <w:rFonts w:hint="eastAsia" w:ascii="仿宋_GB2312" w:hAnsi="仿宋_GB2312" w:eastAsia="仿宋_GB2312" w:cs="仿宋_GB2312"/>
          <w:color w:val="000000"/>
          <w:sz w:val="32"/>
          <w:szCs w:val="20"/>
        </w:rPr>
        <w:t xml:space="preserve">其中基本支出163.9855万元，包括人员经费和日常公用经费；项目支出73.2245万元。 </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2021年部门预算收支安排</w:t>
      </w:r>
      <w:r>
        <w:rPr>
          <w:rFonts w:hint="eastAsia" w:ascii="Times New Roman" w:hAnsi="Times New Roman" w:eastAsia="仿宋" w:cs="Times New Roman"/>
          <w:sz w:val="32"/>
          <w:szCs w:val="32"/>
        </w:rPr>
        <w:t>237.21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较2020年增加6.7383万元，其中：增加项为项目支出。</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spacing w:line="600" w:lineRule="exact"/>
        <w:ind w:firstLine="640" w:firstLineChars="200"/>
        <w:rPr>
          <w:rFonts w:ascii="仿宋_GB2312" w:hAnsi="仿宋_GB2312" w:eastAsia="仿宋_GB2312" w:cs="仿宋_GB2312"/>
          <w:color w:val="000000"/>
          <w:sz w:val="32"/>
          <w:szCs w:val="20"/>
        </w:rPr>
      </w:pPr>
      <w:r>
        <w:rPr>
          <w:rFonts w:hint="eastAsia" w:ascii="Times New Roman" w:hAnsi="Times New Roman" w:eastAsia="仿宋" w:cs="Times New Roman"/>
          <w:sz w:val="32"/>
          <w:szCs w:val="32"/>
        </w:rPr>
        <w:t>2021年，我部门机关运行经费共计</w:t>
      </w:r>
      <w:r>
        <w:rPr>
          <w:rFonts w:hint="eastAsia" w:ascii="仿宋_GB2312" w:hAnsi="仿宋_GB2312" w:eastAsia="仿宋_GB2312" w:cs="仿宋_GB2312"/>
          <w:color w:val="000000"/>
          <w:sz w:val="32"/>
          <w:szCs w:val="20"/>
        </w:rPr>
        <w:t>19.488万元，主要用于办公费、工会经费、公务用车运行维护费</w:t>
      </w:r>
      <w:r>
        <w:rPr>
          <w:rFonts w:hint="eastAsia" w:ascii="仿宋" w:hAnsi="仿宋" w:eastAsia="仿宋" w:cs="仿宋"/>
          <w:kern w:val="0"/>
          <w:sz w:val="32"/>
          <w:szCs w:val="32"/>
        </w:rPr>
        <w:t>等</w:t>
      </w:r>
      <w:r>
        <w:rPr>
          <w:rFonts w:hint="eastAsia" w:ascii="仿宋_GB2312" w:hAnsi="仿宋_GB2312" w:eastAsia="仿宋_GB2312" w:cs="仿宋_GB2312"/>
          <w:color w:val="000000"/>
          <w:sz w:val="32"/>
          <w:szCs w:val="20"/>
        </w:rPr>
        <w:t>日常运行支出。</w:t>
      </w:r>
    </w:p>
    <w:p>
      <w:pPr>
        <w:autoSpaceDE w:val="0"/>
        <w:autoSpaceDN w:val="0"/>
        <w:adjustRightInd w:val="0"/>
        <w:ind w:left="198" w:firstLine="640" w:firstLineChars="200"/>
        <w:jc w:val="left"/>
        <w:rPr>
          <w:rFonts w:hint="eastAsia"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420" w:firstLineChars="200"/>
        <w:jc w:val="left"/>
        <w:rPr>
          <w:rFonts w:ascii="Times New Roman" w:hAnsi="Times New Roman" w:eastAsia="仿宋" w:cs="Times New Roman"/>
          <w:sz w:val="32"/>
          <w:szCs w:val="32"/>
        </w:rPr>
      </w:pPr>
      <w:r>
        <w:rPr>
          <w:rFonts w:hint="eastAsia"/>
        </w:rPr>
        <w:t xml:space="preserve">      </w:t>
      </w:r>
      <w:r>
        <w:rPr>
          <w:rFonts w:hint="eastAsia" w:ascii="Times New Roman" w:hAnsi="Times New Roman" w:eastAsia="仿宋" w:cs="Times New Roman"/>
          <w:sz w:val="32"/>
          <w:szCs w:val="32"/>
        </w:rPr>
        <w:t>2021年，我部门财政拨款“三公”经费预算安排共5万元，其中：因公出国（境）费0万元，比2020年无变化，原因是没有安排因公出国费用；公务用车购置及运维费0万元（其中：公务用车购置费0万元，公务用车运行维护费0万元)，比2020年无变化，原因是没有安排公务用车购置及运维费用；公务接待费5万元，</w:t>
      </w:r>
      <w:r>
        <w:rPr>
          <w:rFonts w:hint="eastAsia" w:ascii="仿宋_GB2312" w:hAnsi="仿宋_GB2312" w:eastAsia="仿宋_GB2312"/>
          <w:sz w:val="32"/>
        </w:rPr>
        <w:t>比2020年减少2万元，减少主要原因是减少不必要的接待</w:t>
      </w:r>
      <w:r>
        <w:rPr>
          <w:rFonts w:hint="eastAsia" w:ascii="Times New Roman" w:hAnsi="Times New Roman" w:eastAsia="仿宋" w:cs="Times New Roman"/>
          <w:sz w:val="32"/>
          <w:szCs w:val="32"/>
        </w:rPr>
        <w:t>。“三公”经费</w:t>
      </w:r>
      <w:r>
        <w:rPr>
          <w:rFonts w:hint="eastAsia" w:ascii="仿宋_GB2312" w:hAnsi="仿宋_GB2312" w:eastAsia="仿宋_GB2312"/>
          <w:sz w:val="32"/>
        </w:rPr>
        <w:t>比2020年减少2万元,减少主要原因是遵循相关规定，</w:t>
      </w:r>
      <w:r>
        <w:rPr>
          <w:rFonts w:hint="eastAsia" w:ascii="仿宋" w:hAnsi="仿宋" w:eastAsia="仿宋"/>
          <w:sz w:val="32"/>
          <w:szCs w:val="32"/>
        </w:rPr>
        <w:t>提倡厉行勤俭节约，</w:t>
      </w:r>
      <w:r>
        <w:rPr>
          <w:rFonts w:hint="eastAsia" w:ascii="仿宋_GB2312" w:hAnsi="仿宋_GB2312" w:eastAsia="仿宋_GB2312"/>
          <w:sz w:val="32"/>
        </w:rPr>
        <w:t>减少不必要的接待</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pPr>
        <w:autoSpaceDE w:val="0"/>
        <w:autoSpaceDN w:val="0"/>
        <w:adjustRightInd w:val="0"/>
        <w:ind w:left="198" w:firstLine="643" w:firstLineChars="200"/>
        <w:jc w:val="left"/>
        <w:rPr>
          <w:rFonts w:ascii="Times New Roman" w:hAnsi="Times New Roman" w:eastAsia="仿宋" w:cs="Times New Roman"/>
          <w:b/>
          <w:sz w:val="32"/>
          <w:szCs w:val="32"/>
        </w:rPr>
      </w:pPr>
      <w:bookmarkStart w:id="0" w:name="_Toc471398463"/>
      <w:r>
        <w:rPr>
          <w:rFonts w:ascii="Times New Roman" w:hAnsi="Times New Roman" w:eastAsia="仿宋" w:cs="Times New Roman"/>
          <w:b/>
          <w:sz w:val="32"/>
          <w:szCs w:val="32"/>
        </w:rPr>
        <w:t>总体绩效目标：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2021年县政协着力开展以下几方面工作</w:t>
      </w:r>
    </w:p>
    <w:p>
      <w:pPr>
        <w:spacing w:line="640" w:lineRule="exact"/>
        <w:ind w:firstLine="643" w:firstLineChars="200"/>
        <w:rPr>
          <w:rFonts w:ascii="仿宋" w:hAnsi="仿宋" w:eastAsia="仿宋" w:cs="仿宋"/>
          <w:sz w:val="32"/>
          <w:szCs w:val="32"/>
        </w:rPr>
      </w:pPr>
      <w:r>
        <w:rPr>
          <w:rFonts w:hint="eastAsia" w:ascii="楷体" w:hAnsi="楷体" w:eastAsia="楷体" w:cs="楷体"/>
          <w:b/>
          <w:bCs/>
          <w:sz w:val="32"/>
          <w:szCs w:val="32"/>
        </w:rPr>
        <w:t>一、抓实学习教育，夯实思想基础。</w:t>
      </w:r>
      <w:r>
        <w:rPr>
          <w:rFonts w:hint="eastAsia" w:ascii="仿宋" w:hAnsi="仿宋" w:eastAsia="仿宋" w:cs="仿宋"/>
          <w:sz w:val="32"/>
          <w:szCs w:val="32"/>
        </w:rPr>
        <w:t>深入学习习近平新时代中国特色社会主义思想，健全学习制度，制定学习计划，机关领导带头参加学习活动，召开机关党组会、支部会等，多形式组织学习深入学习宣传贯彻党的十九大精神、习近平新时代中国特色社会主义思想，提升机关干部职工理论素养和实践水平。</w:t>
      </w:r>
    </w:p>
    <w:p>
      <w:pPr>
        <w:spacing w:line="640" w:lineRule="exact"/>
        <w:ind w:firstLine="643" w:firstLineChars="200"/>
        <w:rPr>
          <w:rFonts w:ascii="仿宋" w:hAnsi="仿宋" w:eastAsia="仿宋" w:cs="仿宋"/>
          <w:sz w:val="32"/>
          <w:szCs w:val="32"/>
        </w:rPr>
      </w:pPr>
      <w:r>
        <w:rPr>
          <w:rFonts w:hint="eastAsia" w:ascii="楷体" w:hAnsi="楷体" w:eastAsia="楷体" w:cs="楷体"/>
          <w:b/>
          <w:bCs/>
          <w:sz w:val="32"/>
          <w:szCs w:val="32"/>
        </w:rPr>
        <w:t>二、做好服务工作，保障政协履职。</w:t>
      </w:r>
      <w:r>
        <w:rPr>
          <w:rFonts w:hint="eastAsia" w:ascii="仿宋" w:hAnsi="仿宋" w:eastAsia="仿宋" w:cs="仿宋"/>
          <w:sz w:val="32"/>
          <w:szCs w:val="32"/>
        </w:rPr>
        <w:t>一是细心安排，做好各类会务工作。针对政协履职多以各类会议体现的特点，高标准严要求，周密安排，认真做好各类会议、活动的组织、协调和后勤保障等会务服务工作，确保各种会议的圆满召开。二是精心组织，服务政协履职活动。认真落实县政协全年工作统一部署，积极与党委政府相关部门和委员沟通联系，精心筹划，做好政协履职活动的组织、协调、后勤保障等工作，确保了政协各项履职活动圆满完成。三是热情周到，加强联络联谊</w:t>
      </w:r>
    </w:p>
    <w:p>
      <w:pPr>
        <w:spacing w:line="640" w:lineRule="exact"/>
        <w:rPr>
          <w:rFonts w:ascii="仿宋" w:hAnsi="仿宋" w:eastAsia="仿宋" w:cs="仿宋"/>
          <w:sz w:val="32"/>
          <w:szCs w:val="32"/>
        </w:rPr>
      </w:pPr>
      <w:r>
        <w:rPr>
          <w:rFonts w:hint="eastAsia" w:ascii="仿宋" w:hAnsi="仿宋" w:eastAsia="仿宋" w:cs="仿宋"/>
          <w:sz w:val="32"/>
          <w:szCs w:val="32"/>
        </w:rPr>
        <w:t>主动加强同省、市政协工作联系，认真做好上级政协交办的各项任务。四是做好提案和宣传信息服务工作，做好提案的征集、督办等工作，协助完成县政协第十二届五次会议期间提案、意见的收集归类和交办联系工作。平时加强与相关办理单位沟通联系，及时向领衔督办的县领导汇报，2021年10件重点提案高质量办理完毕。五是做好政协领导三级联动后勤保障工作。</w:t>
      </w:r>
    </w:p>
    <w:p>
      <w:pPr>
        <w:spacing w:line="640" w:lineRule="exact"/>
        <w:rPr>
          <w:rFonts w:ascii="仿宋" w:hAnsi="仿宋" w:eastAsia="仿宋" w:cs="仿宋"/>
          <w:sz w:val="32"/>
          <w:szCs w:val="32"/>
        </w:rPr>
      </w:pPr>
      <w:r>
        <w:rPr>
          <w:rFonts w:hint="eastAsia" w:ascii="仿宋" w:hAnsi="仿宋" w:eastAsia="仿宋" w:cs="仿宋"/>
          <w:sz w:val="32"/>
          <w:szCs w:val="32"/>
        </w:rPr>
        <w:t>根据县政协领导和机关人员分工安排，机关各室、各责任人分工协作，全力做好联系县政协领导服务工作，确保县政协领导联系全县重点工作、到乡镇、部门督导脱贫攻坚、环保、安全生产、信访维稳等工作的后勤服务保障。</w:t>
      </w:r>
    </w:p>
    <w:p>
      <w:pPr>
        <w:numPr>
          <w:ilvl w:val="0"/>
          <w:numId w:val="1"/>
        </w:numPr>
        <w:spacing w:line="640" w:lineRule="exact"/>
        <w:ind w:firstLine="643" w:firstLineChars="200"/>
        <w:rPr>
          <w:rFonts w:ascii="Times New Roman" w:hAnsi="Times New Roman" w:eastAsia="仿宋" w:cs="Times New Roman"/>
          <w:sz w:val="32"/>
          <w:szCs w:val="32"/>
        </w:rPr>
      </w:pPr>
      <w:r>
        <w:rPr>
          <w:rFonts w:hint="eastAsia" w:ascii="楷体" w:hAnsi="楷体" w:eastAsia="楷体" w:cs="楷体"/>
          <w:b/>
          <w:bCs/>
          <w:sz w:val="32"/>
          <w:szCs w:val="32"/>
        </w:rPr>
        <w:t>加强自身建设，确保目标任务圆满完成。</w:t>
      </w:r>
      <w:r>
        <w:rPr>
          <w:rFonts w:hint="eastAsia" w:ascii="仿宋" w:hAnsi="仿宋" w:eastAsia="仿宋" w:cs="仿宋"/>
          <w:sz w:val="32"/>
          <w:szCs w:val="32"/>
        </w:rPr>
        <w:t>一是范程序公文办理提质增效。按照“准确、及时、规范、保密”的原则，严格机关公文审核把关，狠抓公文质量水平，严格规范公文运转程序，认真做好来文、来电的登记、传阅、转办和归档等工作，提升公文办理时效。二是强化党建工作，发挥机关党组织的战斗堡垒作用。重点贯彻落实全县机关党建工作会议精神，抓好机关党建和群团活动，增强机关的凝聚力。三是加强党风廉政建设。坚持“一岗双责”，将落实党风廉政建设和反腐败工作与业务工作同部署同检查，层层签订责任书。定期召开班子会议专题研究并制定党风廉政建设和反腐败工作意见。严格执行中央八项规定实施细则及省、市相关文件要求，确保机关高效清廉。四是协助做好县政协换届工作。</w:t>
      </w:r>
    </w:p>
    <w:p>
      <w:pPr>
        <w:autoSpaceDE w:val="0"/>
        <w:autoSpaceDN w:val="0"/>
        <w:adjustRightInd w:val="0"/>
        <w:ind w:left="198" w:firstLine="643" w:firstLineChars="200"/>
        <w:jc w:val="left"/>
        <w:rPr>
          <w:rFonts w:ascii="Times New Roman" w:hAnsi="Times New Roman" w:eastAsia="仿宋" w:cs="Times New Roman"/>
          <w:b/>
          <w:sz w:val="32"/>
          <w:szCs w:val="32"/>
        </w:rPr>
      </w:pPr>
      <w:r>
        <w:rPr>
          <w:rFonts w:hint="eastAsia" w:ascii="Times New Roman" w:hAnsi="Times New Roman" w:eastAsia="仿宋" w:cs="Times New Roman"/>
          <w:b/>
          <w:sz w:val="32"/>
          <w:szCs w:val="32"/>
        </w:rPr>
        <w:t>职责分类绩效目标：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一、工作活动名称：政协会议</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部门职责要点描述:就大政方针以及政治、经济、文化、社会和生态文明中的重要问题在决策之前进行协商和就决策执行过程中的重要问题进行协商完善各项会议制度，规范会议程序，提高会议质量，提高政治协商水平。</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2、部门职责绩效目标：完善各项会议制度，规范会议程序，提高会议质量，提高政治协商水平。</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3、工作活动要点描述：会议是人民政协履行职能的主要形式，是开展工作的主体，是委员履行自身职责的主要途径。包括全体会议、常委会议、主席会议、秘书长会议、各专委会会议等。</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4、工作活动绩效目标： 完善各项会议制度，规范会议程序，提高会议质量，提高政治协商水平。</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5、工作活动绩效指标：1、政治任务实现率。2、会议筹备及会务工作的完成率。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6、绩效指标解释：1、实际完成的政治任务占计划实现的政治任务的比例。2、已完成的会议筹备及会务工作量占计划量的比例。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7、绩效指标评价标准：优：100% 良：大于等于90% 中：大于等于80% 差：小于60%。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二、工作活动名称：民主协商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1、部门职责要点描述:就大政方针以及政治、经济、文化、社会和生态文明中的重要问题在决策之前进行协商和就决策执行过程中的重要问题进行协商。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2、部门职责绩效目标:完善各项会议制度，规范会议程序，提高会议质量，提高政治协商水平。</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3、工作活动要点描述：根据形势、任务和党委政府统一部署，安排协商活动，召开专题协商会、协商民主会、专题座谈会、情况通报会、意见听取会、工作研讨会和学习座谈会等。</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4、工作活动绩效目标：增强开展政治协商的自觉性和主动性，规范协商内容，丰富协商形式和层次，把政治协商纳入决策程序。</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5、工作活动绩效指标：专题协商活动完成率。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6、绩效指标解释：年度内已完成的协商活动占计划量的比例。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7、绩效指标评价标准：优：100% 良：大于等于90% 中：大于等于80% 差：小于60%。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三：工作活动名称：监督事务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部门职责要点描述: 有效履行民主监督职责，发挥好协调关系、汇聚力量、建言献策、服务大局的作用。通过意见、建议、批评的方式对国家法律法规的实施、重大方针政策的贯彻执行、党和政府的工作进行政治监督。</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部门职责绩效目标：完善民主监督机制，畅通民主监督渠道，建立健全知情、沟通制度，将民主监督寓于委员提案、进行视察、参与工作检查等活动中，提高民主监督质量和成效。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工作活动要点描述：组织、鼓励和引导委员深入实际、走向基层、贴近群众开展视察考察，通过建议案、提案等形式进行监督。通过参加党委政府组织的调查和检查活动实施监督。</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工作活动绩效目标：完善民主监督机制，畅通民主监督渠道，建立健全知情、沟通制度，加强工作协调配合，提高民主监督的质量和成效。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工作活动绩效指标：监督工作任务完成率。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绩效指标解释：年度监督工作完成情况占监督工作任务的比例。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绩效指标评价标准：优：100% 良：大于等于90% 中：大于等于80% 差：小于60%。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四：工作活动名称：提案工作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部门职责要点描述: 有效履行民主监督职责，发挥好协调关系、汇聚力量、建言献策、服务大局的作用。通过意见、建议、批评的方式对国家法律法规的实施、重大方针政策的贯彻执行、党和政府的工作进行政治监督。</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部门职责绩效目标：完善民主监督机制，畅通民主监督渠道，建立健全知情、沟通制度，将民主监督寓于委员提案、进行视察、参与工作检查等活动中，提高民主监督质量和成效。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工作活动要点描述：对政协委员和参加政协的各党派团体以及各专委会（提案者）的提案进行审查立案，立案后交承办单位办理，适时通过协调、沟通、座谈、视察等形式进行督办。</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工作活动绩效目标：完善提案审查、办理和反馈机制，做到提案程序更加规范，制度更加完善，提案质量和办理质量不断提高，政协履职作用更加突出。</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工作活动绩效指标：提案交办率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绩效指标解释：年度内已完成的提案交办数量占提案总量的比例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绩效指标评价标准：优：100% 良：大于等于90% 中：大于等于80% 差：小于60%。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五：工作活动名称：专题调研</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部门职责要点描述:通过对重大问题以及人民群众普遍关心的问题，开展调查研究，反映社情民意，进行协商讨论，以调研报告、建议案或其他形式，向县委、县政府提出意见和建议。</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部门职责绩效目标：发挥政协作为扩大社会各界有序参与的重要渠道作用，探索开展活动的新方法新途径，充分调动委员参政议政积极，向县委、县政府提出高质量的建议案。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工作活动要点描述：选择经济社会发展中具有综合性、全局性、前瞻性的课题，在县委和县政府有关部门密切配合下，深入调查研究，开展咨询论证、提出意见建议。</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工作活动绩效目标：通过调研课题就党和政府关注的问题，提出客观、有价值、有分量、有影响的意见建议，促进决策民主化和科学化。</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工作活动绩效指标：1、重点课题和专项调研完成率。2、调研结果和政策建议采纳数。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绩效指标解释：1、年度内已完成的重点课题和专项调研数量占计划量的比例。2、调研结果和政策建议采纳数量占调研结果和政策建议数量的比例。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绩效指标评价标准：优：100% 良：大于等于90% 中：大于等于80% 差：小于60%。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六：工作活动名称：社情民意</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部门职责要点描述:通过对重大问题以及人民群众普遍关心的问题，开展调查研究，反映社情民意，进行协商讨论，以调研报告、建议案或其他形式，向县委、县政府提出意见和建议。</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部门职责绩效目标：发挥政协作为扩大社会各界有序参与的重要渠道作用，探索开展活动的新方法新途径，充分调动委员参政议政积极，向县委、县政府提出高质量的建议案。</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工作活动要点描述：利用政协自身包容各界、联系广泛、人才聚集的优势和特点，了解和反映社会不同阶层、群体的愿望和要求，将分散在民间、基层有识之士的真知灼见反映给决策部门。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工作活动绩效目标：通过界别渠道密切联系群众，反映社情民意，努力做到协调关系、化解矛盾、理顺情绪，增进社会各阶层不同利益群体的和谐和稳定。</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工作活动绩效指标：社情民意反映率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绩效指标解释：社情民意信息反映数量占采集数量的比例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绩效指标评价标准：优：100% 良：大于等于90% 中：大于等于80% 差：小于60%。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七：工作活动名称：综合业务管理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要点描述:县政协自身建设、理论研究以及宣传工作，与县内外有关单位的联系协调；负责机关外事工作，机构编制、人事任免、人员培训、考核奖惩、工资福利，后勤保障、经费资产管理、基建和审计，接待、离退休人员服务，承办县政协主席、副主席、秘书长交办的其他事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部门职责绩效目标：机关自身建设、服务保障能力进一步提升。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要点描述：加强县政协机关与专委会自身建设以及理论研究和宣传工作，扩大与省市政协办公厅，县委、县人大常委会、县政府办公室，县各民主党派、工商联、人民团体、县直有关部门和乡政协的联系、协调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工作活动绩效目标：政协自身建设质量更加扎实，工作科学化水平进一步提升。文史资料的社会功能增强，理论研究成果服务履职作用明显。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工作活动绩效指标：综合业务管理工作完成率。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绩效指标解释：综合业务管理工作完成情况占综合业务管理工作计划的比例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绩效指标评价标准：优：100% 良：大于等于90% 中：大于等于80% 差：小于60%。</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八：工作活动名称：综合事务管理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要点描述:县政协自身建设、理论研究以及宣传工作，与县内外有关单位的联系协调；负责机关外事工作，机构编制、人事任免、人员培训、考核奖惩、工资福利，后勤保障、经费资产管理、基建和审计，接待、离退休人员服务，承办县政协主席、副主席、秘书长交办的其他事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部门职责绩效目标：机关自身建设、服务保障能力进一步提升。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要点描述：县政协机关的机构编制、人事任免、调配及人员培训、考核奖惩、工资福利，后勤保障、机关经费管理、资产管理、基建和审计，机关接待、离退休人员服务，以及承办县政协主席、副主席、秘书长交办的其他事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工作活动绩效目标：机关基本设施设备正常运转、信息化保障、老干部服务保障能力进一步提高。</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工作活动绩效指标：综合事务保障率。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绩效指标解释：综合事务保障情况占综合事务保障任务的比利。</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绩效指标评价标准：优：100% 良：大于等于90% 中：大于等于80% 差：小于60%。</w:t>
      </w:r>
    </w:p>
    <w:p>
      <w:pPr>
        <w:autoSpaceDE w:val="0"/>
        <w:autoSpaceDN w:val="0"/>
        <w:adjustRightInd w:val="0"/>
        <w:ind w:left="198" w:firstLine="643" w:firstLineChars="200"/>
        <w:jc w:val="left"/>
        <w:rPr>
          <w:rFonts w:ascii="Times New Roman" w:hAnsi="Times New Roman" w:eastAsia="仿宋" w:cs="Times New Roman"/>
          <w:b/>
          <w:sz w:val="32"/>
          <w:szCs w:val="32"/>
        </w:rPr>
      </w:pPr>
      <w:r>
        <w:rPr>
          <w:rFonts w:hint="eastAsia" w:ascii="Times New Roman" w:hAnsi="Times New Roman" w:eastAsia="仿宋" w:cs="Times New Roman"/>
          <w:b/>
          <w:sz w:val="32"/>
          <w:szCs w:val="32"/>
        </w:rPr>
        <w:t>部门职责及工作活动绩效目标指标：</w:t>
      </w:r>
      <w:bookmarkEnd w:id="0"/>
    </w:p>
    <w:tbl>
      <w:tblPr>
        <w:tblStyle w:val="10"/>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00"/>
        <w:gridCol w:w="1275"/>
        <w:gridCol w:w="2820"/>
        <w:gridCol w:w="2774"/>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131</w:t>
            </w:r>
            <w:r>
              <w:rPr>
                <w:rFonts w:hint="eastAsia" w:ascii="方正小标宋_GBK" w:eastAsia="方正小标宋_GBK"/>
                <w:sz w:val="24"/>
              </w:rPr>
              <w:t>隆尧县政协</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70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82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77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700" w:type="dxa"/>
            <w:vMerge w:val="continue"/>
            <w:shd w:val="clear" w:color="auto" w:fill="auto"/>
            <w:vAlign w:val="center"/>
          </w:tcPr>
          <w:p>
            <w:pPr>
              <w:spacing w:line="300" w:lineRule="exact"/>
              <w:jc w:val="left"/>
              <w:outlineLvl w:val="0"/>
            </w:pPr>
          </w:p>
        </w:tc>
        <w:tc>
          <w:tcPr>
            <w:tcW w:w="1275" w:type="dxa"/>
            <w:vMerge w:val="continue"/>
            <w:shd w:val="clear" w:color="auto" w:fill="auto"/>
            <w:vAlign w:val="center"/>
          </w:tcPr>
          <w:p>
            <w:pPr>
              <w:spacing w:line="300" w:lineRule="exact"/>
              <w:jc w:val="left"/>
              <w:outlineLvl w:val="0"/>
            </w:pPr>
          </w:p>
        </w:tc>
        <w:tc>
          <w:tcPr>
            <w:tcW w:w="2820" w:type="dxa"/>
            <w:vMerge w:val="continue"/>
            <w:shd w:val="clear" w:color="auto" w:fill="auto"/>
            <w:vAlign w:val="center"/>
          </w:tcPr>
          <w:p>
            <w:pPr>
              <w:spacing w:line="300" w:lineRule="exact"/>
              <w:jc w:val="left"/>
              <w:outlineLvl w:val="0"/>
            </w:pPr>
          </w:p>
        </w:tc>
        <w:tc>
          <w:tcPr>
            <w:tcW w:w="2774"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一、政治协商</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170544.00</w:t>
            </w: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就大政方针以及政治、经济、文化、社会和生态文明中的重要问题在决策之前进行协商和就决策执行过程中的重要问题进行协商。</w:t>
            </w:r>
          </w:p>
        </w:tc>
        <w:tc>
          <w:tcPr>
            <w:tcW w:w="277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完善各项会议制度，规范会议程序，提高会议质量，提高政治协商水平。</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4" w:hRule="atLeast"/>
          <w:jc w:val="center"/>
        </w:trPr>
        <w:tc>
          <w:tcPr>
            <w:tcW w:w="2700"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政协会议</w:t>
            </w:r>
          </w:p>
        </w:tc>
        <w:tc>
          <w:tcPr>
            <w:tcW w:w="1275"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170544.00</w:t>
            </w:r>
          </w:p>
        </w:tc>
        <w:tc>
          <w:tcPr>
            <w:tcW w:w="2820"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会议是人民政协履行职能的主要形式，是开展工作的主体，是委员履行自身职责的主要途径。包括全体会议、常委会议、主席会议、秘书长会议、各专委会会议等。</w:t>
            </w:r>
          </w:p>
        </w:tc>
        <w:tc>
          <w:tcPr>
            <w:tcW w:w="2774"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完善各项会议制度，规范会议程序，提高会议质量，提高政治协商水平。</w:t>
            </w:r>
          </w:p>
        </w:tc>
        <w:tc>
          <w:tcPr>
            <w:tcW w:w="1417" w:type="dxa"/>
            <w:tcBorders>
              <w:bottom w:val="single" w:color="auto" w:sz="4"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会议筹备及会务工作的完成率</w:t>
            </w:r>
          </w:p>
        </w:tc>
        <w:tc>
          <w:tcPr>
            <w:tcW w:w="737" w:type="dxa"/>
            <w:tcBorders>
              <w:bottom w:val="single" w:color="auto" w:sz="4"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tcBorders>
              <w:bottom w:val="single" w:color="auto" w:sz="4"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tcBorders>
              <w:bottom w:val="single" w:color="auto" w:sz="4"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tcBorders>
              <w:bottom w:val="single" w:color="auto" w:sz="4"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1" w:hRule="atLeast"/>
          <w:jc w:val="center"/>
        </w:trPr>
        <w:tc>
          <w:tcPr>
            <w:tcW w:w="2700" w:type="dxa"/>
            <w:vMerge w:val="continue"/>
            <w:shd w:val="clear" w:color="auto" w:fill="auto"/>
            <w:vAlign w:val="center"/>
          </w:tcPr>
          <w:p>
            <w:pPr>
              <w:spacing w:line="300" w:lineRule="exact"/>
              <w:jc w:val="left"/>
              <w:rPr>
                <w:rFonts w:ascii="方正书宋_GBK" w:eastAsia="方正书宋_GBK"/>
                <w:b/>
              </w:rPr>
            </w:pPr>
          </w:p>
        </w:tc>
        <w:tc>
          <w:tcPr>
            <w:tcW w:w="1275" w:type="dxa"/>
            <w:vMerge w:val="continue"/>
            <w:shd w:val="clear" w:color="auto" w:fill="auto"/>
            <w:vAlign w:val="center"/>
          </w:tcPr>
          <w:p>
            <w:pPr>
              <w:spacing w:line="300" w:lineRule="exact"/>
              <w:jc w:val="left"/>
              <w:rPr>
                <w:rFonts w:ascii="方正书宋_GBK" w:eastAsia="方正书宋_GBK"/>
              </w:rPr>
            </w:pPr>
          </w:p>
        </w:tc>
        <w:tc>
          <w:tcPr>
            <w:tcW w:w="2820" w:type="dxa"/>
            <w:vMerge w:val="continue"/>
            <w:shd w:val="clear" w:color="auto" w:fill="auto"/>
            <w:vAlign w:val="center"/>
          </w:tcPr>
          <w:p>
            <w:pPr>
              <w:spacing w:line="300" w:lineRule="exact"/>
              <w:jc w:val="left"/>
              <w:rPr>
                <w:rFonts w:ascii="方正书宋_GBK" w:eastAsia="方正书宋_GBK"/>
              </w:rPr>
            </w:pPr>
          </w:p>
        </w:tc>
        <w:tc>
          <w:tcPr>
            <w:tcW w:w="2774" w:type="dxa"/>
            <w:vMerge w:val="continue"/>
            <w:shd w:val="clear" w:color="auto" w:fill="auto"/>
            <w:vAlign w:val="center"/>
          </w:tcPr>
          <w:p>
            <w:pPr>
              <w:spacing w:line="300" w:lineRule="exact"/>
              <w:jc w:val="left"/>
              <w:rPr>
                <w:rFonts w:ascii="方正书宋_GBK" w:eastAsia="方正书宋_GBK"/>
              </w:rPr>
            </w:pPr>
          </w:p>
        </w:tc>
        <w:tc>
          <w:tcPr>
            <w:tcW w:w="1417" w:type="dxa"/>
            <w:tcBorders>
              <w:top w:val="single" w:color="auto" w:sz="4"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政治任务实现率</w:t>
            </w:r>
          </w:p>
        </w:tc>
        <w:tc>
          <w:tcPr>
            <w:tcW w:w="737" w:type="dxa"/>
            <w:tcBorders>
              <w:top w:val="single" w:color="auto" w:sz="4"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tcBorders>
              <w:top w:val="single" w:color="auto" w:sz="4"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tcBorders>
              <w:top w:val="single" w:color="auto" w:sz="4"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tcBorders>
              <w:top w:val="single" w:color="auto" w:sz="4"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vMerge w:val="continue"/>
            <w:shd w:val="clear" w:color="auto" w:fill="auto"/>
            <w:vAlign w:val="center"/>
          </w:tcPr>
          <w:p>
            <w:pPr>
              <w:spacing w:line="300" w:lineRule="exact"/>
              <w:jc w:val="left"/>
              <w:rPr>
                <w:rFonts w:ascii="方正书宋_GBK" w:eastAsia="方正书宋_GBK"/>
                <w:b/>
              </w:rPr>
            </w:pPr>
          </w:p>
        </w:tc>
        <w:tc>
          <w:tcPr>
            <w:tcW w:w="1275" w:type="dxa"/>
            <w:vMerge w:val="continue"/>
            <w:shd w:val="clear" w:color="auto" w:fill="auto"/>
            <w:vAlign w:val="center"/>
          </w:tcPr>
          <w:p>
            <w:pPr>
              <w:spacing w:line="300" w:lineRule="exact"/>
              <w:jc w:val="left"/>
              <w:rPr>
                <w:rFonts w:ascii="方正书宋_GBK" w:eastAsia="方正书宋_GBK"/>
              </w:rPr>
            </w:pP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根据形势、任务和党委政府统一部署，安排协商活动，召开专题协商会、协商民主会、专题座谈会、情况通报会、意见听取会、工作研讨会和学习座谈会等。</w:t>
            </w:r>
          </w:p>
        </w:tc>
        <w:tc>
          <w:tcPr>
            <w:tcW w:w="277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增强开展政治协商的自觉性和主动性，规范协商内容，丰富协商形式和层次，把政治协商纳入决策程序。</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专题协商活动完成率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二、民主监督</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387607</w:t>
            </w:r>
            <w:r>
              <w:rPr>
                <w:rFonts w:ascii="方正书宋_GBK" w:eastAsia="方正书宋_GBK"/>
              </w:rPr>
              <w:t>.00</w:t>
            </w: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有效履行民主监督职责，发挥好协调关系、汇聚力量、建言献策、服务大局的作用。通过意见、建议、批评的方式对国家法律法规的实施、重大方针政策的贯彻执行、党和政府的工作进行政治监督。</w:t>
            </w:r>
          </w:p>
        </w:tc>
        <w:tc>
          <w:tcPr>
            <w:tcW w:w="277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完善民主监督机制，畅通民主监督渠道，建立健全知情、沟通制度，将民主监督寓于委员提案、进行视察、参与工作检查等活动中，提高民主监督质量和成效。</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、监督事务</w:t>
            </w:r>
          </w:p>
        </w:tc>
        <w:tc>
          <w:tcPr>
            <w:tcW w:w="1275" w:type="dxa"/>
            <w:shd w:val="clear" w:color="auto" w:fill="auto"/>
            <w:vAlign w:val="center"/>
          </w:tcPr>
          <w:p>
            <w:pPr>
              <w:spacing w:line="300" w:lineRule="exact"/>
              <w:jc w:val="left"/>
              <w:rPr>
                <w:rFonts w:ascii="方正书宋_GBK" w:eastAsia="方正书宋_GBK"/>
              </w:rPr>
            </w:pPr>
            <w:r>
              <w:rPr>
                <w:rFonts w:ascii="方正书宋_GBK" w:eastAsia="方正书宋_GBK"/>
              </w:rPr>
              <w:t>19</w:t>
            </w:r>
            <w:r>
              <w:rPr>
                <w:rFonts w:hint="eastAsia" w:ascii="方正书宋_GBK" w:eastAsia="方正书宋_GBK"/>
              </w:rPr>
              <w:t>8607</w:t>
            </w:r>
            <w:r>
              <w:rPr>
                <w:rFonts w:ascii="方正书宋_GBK" w:eastAsia="方正书宋_GBK"/>
              </w:rPr>
              <w:t>.00</w:t>
            </w: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组织、鼓励和引导委员深入实际、走向基层、贴近群众开展视察考察，通过建议案、提案等形式进行监督。通过参加党委政府组织的调查和检查活动实施监督。</w:t>
            </w:r>
          </w:p>
        </w:tc>
        <w:tc>
          <w:tcPr>
            <w:tcW w:w="2774" w:type="dxa"/>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监督工作任务完成率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、提案工作</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189000</w:t>
            </w: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对政协委员和参加政协的各党派团体以及各专委会（提案者）的提案进行审查立案，立案后交承办单位办理，适时通过协调、沟通、座谈、视察等形式进行督办。</w:t>
            </w:r>
          </w:p>
        </w:tc>
        <w:tc>
          <w:tcPr>
            <w:tcW w:w="2774" w:type="dxa"/>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提案交办率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三、参政议政</w:t>
            </w:r>
          </w:p>
        </w:tc>
        <w:tc>
          <w:tcPr>
            <w:tcW w:w="1275" w:type="dxa"/>
            <w:shd w:val="clear" w:color="auto" w:fill="auto"/>
            <w:vAlign w:val="center"/>
          </w:tcPr>
          <w:p>
            <w:pPr>
              <w:spacing w:line="300" w:lineRule="exact"/>
              <w:jc w:val="left"/>
              <w:rPr>
                <w:rFonts w:ascii="方正书宋_GBK" w:eastAsia="方正书宋_GBK"/>
              </w:rPr>
            </w:pP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通过对重大问题以及人民群众普遍关心的问题，开展调查研究，反映社情民意，进行协商讨论，以调研报告、建议案或其他形式，向县委、县政府提出意见和建议。</w:t>
            </w:r>
          </w:p>
        </w:tc>
        <w:tc>
          <w:tcPr>
            <w:tcW w:w="277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发挥政协作为扩大社会各界有序参与的重要渠道作用，探索开展活动的新方法新途径，充分调动委员参政议政积极，向县委、县政府提出高质量的建议案。</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7" w:hRule="atLeast"/>
          <w:jc w:val="center"/>
        </w:trPr>
        <w:tc>
          <w:tcPr>
            <w:tcW w:w="2700"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、专题调研</w:t>
            </w:r>
          </w:p>
        </w:tc>
        <w:tc>
          <w:tcPr>
            <w:tcW w:w="1275" w:type="dxa"/>
            <w:vMerge w:val="restart"/>
            <w:shd w:val="clear" w:color="auto" w:fill="auto"/>
            <w:vAlign w:val="center"/>
          </w:tcPr>
          <w:p>
            <w:pPr>
              <w:spacing w:line="300" w:lineRule="exact"/>
              <w:jc w:val="left"/>
              <w:rPr>
                <w:rFonts w:ascii="方正书宋_GBK" w:eastAsia="方正书宋_GBK"/>
              </w:rPr>
            </w:pPr>
          </w:p>
        </w:tc>
        <w:tc>
          <w:tcPr>
            <w:tcW w:w="2820"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选择经济社会发展中具有综合性、全局性、前瞻性的课题，在县委和县政府有关部门密切配合下，深入调查研究，开展咨询论证、提出意见建议。</w:t>
            </w:r>
          </w:p>
        </w:tc>
        <w:tc>
          <w:tcPr>
            <w:tcW w:w="2774" w:type="dxa"/>
            <w:vMerge w:val="restart"/>
            <w:shd w:val="clear" w:color="auto" w:fill="auto"/>
            <w:vAlign w:val="center"/>
          </w:tcPr>
          <w:p>
            <w:pPr>
              <w:spacing w:line="300" w:lineRule="exact"/>
              <w:jc w:val="left"/>
              <w:rPr>
                <w:rFonts w:ascii="方正书宋_GBK" w:eastAsia="方正书宋_GBK"/>
              </w:rPr>
            </w:pPr>
          </w:p>
        </w:tc>
        <w:tc>
          <w:tcPr>
            <w:tcW w:w="1417" w:type="dxa"/>
            <w:tcBorders>
              <w:bottom w:val="single" w:color="auto" w:sz="4"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调研结果和政策·建议采纳数</w:t>
            </w:r>
          </w:p>
        </w:tc>
        <w:tc>
          <w:tcPr>
            <w:tcW w:w="737" w:type="dxa"/>
            <w:tcBorders>
              <w:bottom w:val="single" w:color="auto" w:sz="4"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tcBorders>
              <w:bottom w:val="single" w:color="auto" w:sz="4"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tcBorders>
              <w:bottom w:val="single" w:color="auto" w:sz="4"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tcBorders>
              <w:bottom w:val="single" w:color="auto" w:sz="4"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&lt;20%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jc w:val="center"/>
        </w:trPr>
        <w:tc>
          <w:tcPr>
            <w:tcW w:w="2700" w:type="dxa"/>
            <w:vMerge w:val="continue"/>
            <w:shd w:val="clear" w:color="auto" w:fill="auto"/>
            <w:vAlign w:val="center"/>
          </w:tcPr>
          <w:p>
            <w:pPr>
              <w:spacing w:line="300" w:lineRule="exact"/>
              <w:jc w:val="left"/>
              <w:rPr>
                <w:rFonts w:ascii="方正书宋_GBK" w:eastAsia="方正书宋_GBK"/>
                <w:b/>
              </w:rPr>
            </w:pPr>
          </w:p>
        </w:tc>
        <w:tc>
          <w:tcPr>
            <w:tcW w:w="1275" w:type="dxa"/>
            <w:vMerge w:val="continue"/>
            <w:shd w:val="clear" w:color="auto" w:fill="auto"/>
            <w:vAlign w:val="center"/>
          </w:tcPr>
          <w:p>
            <w:pPr>
              <w:spacing w:line="300" w:lineRule="exact"/>
              <w:jc w:val="left"/>
              <w:rPr>
                <w:rFonts w:ascii="方正书宋_GBK" w:eastAsia="方正书宋_GBK"/>
              </w:rPr>
            </w:pPr>
          </w:p>
        </w:tc>
        <w:tc>
          <w:tcPr>
            <w:tcW w:w="2820" w:type="dxa"/>
            <w:vMerge w:val="continue"/>
            <w:shd w:val="clear" w:color="auto" w:fill="auto"/>
            <w:vAlign w:val="center"/>
          </w:tcPr>
          <w:p>
            <w:pPr>
              <w:spacing w:line="300" w:lineRule="exact"/>
              <w:jc w:val="left"/>
              <w:rPr>
                <w:rFonts w:ascii="方正书宋_GBK" w:eastAsia="方正书宋_GBK"/>
              </w:rPr>
            </w:pPr>
          </w:p>
        </w:tc>
        <w:tc>
          <w:tcPr>
            <w:tcW w:w="2774" w:type="dxa"/>
            <w:vMerge w:val="continue"/>
            <w:shd w:val="clear" w:color="auto" w:fill="auto"/>
            <w:vAlign w:val="center"/>
          </w:tcPr>
          <w:p>
            <w:pPr>
              <w:spacing w:line="300" w:lineRule="exact"/>
              <w:jc w:val="left"/>
              <w:rPr>
                <w:rFonts w:ascii="方正书宋_GBK" w:eastAsia="方正书宋_GBK"/>
              </w:rPr>
            </w:pPr>
          </w:p>
        </w:tc>
        <w:tc>
          <w:tcPr>
            <w:tcW w:w="1417" w:type="dxa"/>
            <w:tcBorders>
              <w:top w:val="single" w:color="auto" w:sz="4"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重点课题和专项调研完成率</w:t>
            </w:r>
          </w:p>
        </w:tc>
        <w:tc>
          <w:tcPr>
            <w:tcW w:w="737" w:type="dxa"/>
            <w:tcBorders>
              <w:top w:val="single" w:color="auto" w:sz="4"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tcBorders>
              <w:top w:val="single" w:color="auto" w:sz="4"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tcBorders>
              <w:top w:val="single" w:color="auto" w:sz="4"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tcBorders>
              <w:top w:val="single" w:color="auto" w:sz="4"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、社情民意</w:t>
            </w:r>
          </w:p>
        </w:tc>
        <w:tc>
          <w:tcPr>
            <w:tcW w:w="1275" w:type="dxa"/>
            <w:shd w:val="clear" w:color="auto" w:fill="auto"/>
            <w:vAlign w:val="center"/>
          </w:tcPr>
          <w:p>
            <w:pPr>
              <w:spacing w:line="300" w:lineRule="exact"/>
              <w:jc w:val="left"/>
              <w:rPr>
                <w:rFonts w:ascii="方正书宋_GBK" w:eastAsia="方正书宋_GBK"/>
              </w:rPr>
            </w:pP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利用政协自身包容各界、联系广泛、人才聚集的优势和特点，了解和反映社会不同阶层、群体的愿望和要求，将分散在民间、基层有识之士的真知灼见反映给决策部门。</w:t>
            </w:r>
          </w:p>
        </w:tc>
        <w:tc>
          <w:tcPr>
            <w:tcW w:w="2774" w:type="dxa"/>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社情民意反映率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四、政协事务管理</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148594</w:t>
            </w:r>
            <w:r>
              <w:rPr>
                <w:rFonts w:ascii="方正书宋_GBK" w:eastAsia="方正书宋_GBK"/>
              </w:rPr>
              <w:t>.00</w:t>
            </w: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政协自身建设、理论研究以及宣传工作，与县内外有关单位的联系协调；负责机关外事工作，机构编制、人事任免、人员培训、考核奖惩、工资福利，后勤保障、经费资产管理、基建和审计，接待、离退休人员服务，承办县政协主席、副主席、秘书长交办的其他事项。</w:t>
            </w:r>
          </w:p>
        </w:tc>
        <w:tc>
          <w:tcPr>
            <w:tcW w:w="277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机关自身建设、服务保障能力进一步提升。</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5" w:type="dxa"/>
            <w:shd w:val="clear" w:color="auto" w:fill="auto"/>
            <w:vAlign w:val="center"/>
          </w:tcPr>
          <w:p>
            <w:pPr>
              <w:spacing w:line="300" w:lineRule="exact"/>
              <w:jc w:val="left"/>
              <w:rPr>
                <w:rFonts w:ascii="方正书宋_GBK" w:eastAsia="方正书宋_GBK"/>
              </w:rPr>
            </w:pP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加强县政协机关与专委会自身建设以及理论研究和宣传工作，扩大与省市政协办公厅，县委、县人大常委会、县政府办公室，县各民主党派、工商联、人民团体、县直有关部门和乡政协的联系、协调工作。</w:t>
            </w:r>
          </w:p>
        </w:tc>
        <w:tc>
          <w:tcPr>
            <w:tcW w:w="2774" w:type="dxa"/>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5"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48594</w:t>
            </w:r>
            <w:r>
              <w:rPr>
                <w:rFonts w:ascii="方正书宋_GBK" w:eastAsia="方正书宋_GBK"/>
              </w:rPr>
              <w:t>.00</w:t>
            </w: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政协机关的机构编制、人事任免、调配及人员培训、考核奖惩、工资福利，后勤保障、机关经费管理、资产管理、基建和审计，机关接待、离退休人员服务，以及承办县政协主席、副主席、秘书长交办的其他事项。</w:t>
            </w:r>
          </w:p>
        </w:tc>
        <w:tc>
          <w:tcPr>
            <w:tcW w:w="2774" w:type="dxa"/>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综合事务保障率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五、老年科学技术工作</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25500</w:t>
            </w:r>
            <w:r>
              <w:rPr>
                <w:rFonts w:ascii="方正书宋_GBK" w:eastAsia="方正书宋_GBK"/>
              </w:rPr>
              <w:t>.00</w:t>
            </w: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加强老科技工作者交流，反映老科技工作者呼声，促进隆尧科技发展</w:t>
            </w:r>
          </w:p>
        </w:tc>
        <w:tc>
          <w:tcPr>
            <w:tcW w:w="277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加强老科技工作者交流，反映老科技工作者呼声，促进隆尧科技发展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700"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老年科学技术工作</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25500</w:t>
            </w:r>
            <w:r>
              <w:rPr>
                <w:rFonts w:ascii="方正书宋_GBK" w:eastAsia="方正书宋_GBK"/>
              </w:rPr>
              <w:t>.00</w:t>
            </w:r>
          </w:p>
        </w:tc>
        <w:tc>
          <w:tcPr>
            <w:tcW w:w="282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加强老科技工作者交流，反映老科技工作者呼声，促进隆尧科技发展</w:t>
            </w:r>
          </w:p>
        </w:tc>
        <w:tc>
          <w:tcPr>
            <w:tcW w:w="2774" w:type="dxa"/>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加强老科技工作者交流，反映老科技工作者呼声，促进隆尧科技发展</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60</w:t>
            </w:r>
          </w:p>
        </w:tc>
      </w:tr>
    </w:tbl>
    <w:p>
      <w:pPr>
        <w:spacing w:line="300" w:lineRule="exact"/>
        <w:jc w:val="left"/>
        <w:outlineLvl w:val="0"/>
        <w:sectPr>
          <w:pgSz w:w="16839" w:h="11907" w:orient="landscape"/>
          <w:pgMar w:top="1020" w:right="1361" w:bottom="1020" w:left="1361" w:header="851" w:footer="992" w:gutter="0"/>
          <w:cols w:space="720"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28.245</w:t>
      </w:r>
      <w:r>
        <w:rPr>
          <w:rFonts w:ascii="Times New Roman" w:hAnsi="Times New Roman" w:eastAsia="仿宋" w:cs="Times New Roman"/>
          <w:sz w:val="32"/>
          <w:szCs w:val="24"/>
        </w:rPr>
        <w:t>万元。具体内容见下表。</w:t>
      </w:r>
      <w:bookmarkEnd w:id="1"/>
    </w:p>
    <w:p>
      <w:pPr>
        <w:jc w:val="center"/>
        <w:outlineLvl w:val="0"/>
        <w:rPr>
          <w:rFonts w:ascii="方正小标宋_GBK" w:eastAsia="方正小标宋_GBK"/>
          <w:sz w:val="32"/>
        </w:rPr>
      </w:pPr>
      <w:bookmarkStart w:id="2" w:name="_Toc535404684"/>
      <w:r>
        <w:rPr>
          <w:rFonts w:hint="eastAsia" w:ascii="方正小标宋_GBK" w:eastAsia="方正小标宋_GBK"/>
          <w:sz w:val="32"/>
        </w:rPr>
        <w:t>部门政府采购预算</w:t>
      </w:r>
      <w:bookmarkEnd w:id="2"/>
    </w:p>
    <w:tbl>
      <w:tblPr>
        <w:tblStyle w:val="10"/>
        <w:tblW w:w="155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5"/>
        <w:gridCol w:w="1135"/>
        <w:gridCol w:w="1532"/>
        <w:gridCol w:w="1531"/>
        <w:gridCol w:w="709"/>
        <w:gridCol w:w="849"/>
        <w:gridCol w:w="1110"/>
        <w:gridCol w:w="1095"/>
        <w:gridCol w:w="1028"/>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51"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131隆尧县政协</w:t>
            </w:r>
          </w:p>
        </w:tc>
        <w:tc>
          <w:tcPr>
            <w:tcW w:w="6659" w:type="dxa"/>
            <w:gridSpan w:val="6"/>
            <w:tcBorders>
              <w:top w:val="single" w:color="FFFFFF" w:sz="6" w:space="0"/>
              <w:left w:val="single" w:color="FFFFFF" w:sz="6" w:space="0"/>
              <w:bottom w:val="single" w:color="000000"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20" w:type="dxa"/>
            <w:gridSpan w:val="2"/>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2"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49"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110"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659" w:type="dxa"/>
            <w:gridSpan w:val="6"/>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2"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531"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709"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849"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110"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方正书宋_GBK" w:eastAsia="方正书宋_GBK"/>
                <w:b/>
              </w:rPr>
            </w:pP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rPr>
              <w:t>28</w:t>
            </w:r>
            <w:r>
              <w:rPr>
                <w:rFonts w:hint="eastAsia" w:ascii="方正书宋_GBK" w:eastAsia="方正书宋_GBK"/>
                <w:b/>
                <w:lang w:val="en-US" w:eastAsia="zh-CN"/>
              </w:rPr>
              <w:t>.</w:t>
            </w:r>
            <w:r>
              <w:rPr>
                <w:rFonts w:hint="eastAsia" w:ascii="方正书宋_GBK" w:eastAsia="方正书宋_GBK"/>
                <w:b/>
              </w:rPr>
              <w:t>245</w:t>
            </w:r>
            <w:r>
              <w:rPr>
                <w:rFonts w:hint="eastAsia" w:ascii="方正书宋_GBK" w:eastAsia="方正书宋_GBK"/>
                <w:b/>
                <w:lang w:val="en-US" w:eastAsia="zh-CN"/>
              </w:rPr>
              <w:t>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r>
              <w:rPr>
                <w:rFonts w:hint="eastAsia" w:ascii="方正书宋_GBK" w:eastAsia="方正书宋_GBK"/>
                <w:b/>
              </w:rPr>
              <w:t>28</w:t>
            </w:r>
            <w:r>
              <w:rPr>
                <w:rFonts w:hint="eastAsia" w:ascii="方正书宋_GBK" w:eastAsia="方正书宋_GBK"/>
                <w:b/>
                <w:lang w:val="en-US" w:eastAsia="zh-CN"/>
              </w:rPr>
              <w:t>.</w:t>
            </w:r>
            <w:r>
              <w:rPr>
                <w:rFonts w:hint="eastAsia" w:ascii="方正书宋_GBK" w:eastAsia="方正书宋_GBK"/>
                <w:b/>
              </w:rPr>
              <w:t>2450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r>
              <w:rPr>
                <w:rFonts w:hint="eastAsia" w:ascii="方正书宋_GBK" w:eastAsia="方正书宋_GBK"/>
                <w:b/>
              </w:rPr>
              <w:t>中国人民政治协商会议隆尧县委员会本级小计</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b/>
              </w:rPr>
            </w:pP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b/>
              </w:rPr>
            </w:pP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r>
              <w:rPr>
                <w:rFonts w:hint="eastAsia" w:ascii="方正书宋_GBK" w:eastAsia="方正书宋_GBK"/>
                <w:b/>
              </w:rPr>
              <w:t>28</w:t>
            </w:r>
            <w:r>
              <w:rPr>
                <w:rFonts w:hint="eastAsia" w:ascii="方正书宋_GBK" w:eastAsia="方正书宋_GBK"/>
                <w:b/>
                <w:lang w:val="en-US" w:eastAsia="zh-CN"/>
              </w:rPr>
              <w:t>.</w:t>
            </w:r>
            <w:r>
              <w:rPr>
                <w:rFonts w:hint="eastAsia" w:ascii="方正书宋_GBK" w:eastAsia="方正书宋_GBK"/>
                <w:b/>
              </w:rPr>
              <w:t>2450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r>
              <w:rPr>
                <w:rFonts w:hint="eastAsia" w:ascii="方正书宋_GBK" w:eastAsia="方正书宋_GBK"/>
                <w:b/>
              </w:rPr>
              <w:t>28</w:t>
            </w:r>
            <w:r>
              <w:rPr>
                <w:rFonts w:hint="eastAsia" w:ascii="方正书宋_GBK" w:eastAsia="方正书宋_GBK"/>
                <w:b/>
                <w:lang w:val="en-US" w:eastAsia="zh-CN"/>
              </w:rPr>
              <w:t>.</w:t>
            </w:r>
            <w:r>
              <w:rPr>
                <w:rFonts w:hint="eastAsia" w:ascii="方正书宋_GBK" w:eastAsia="方正书宋_GBK"/>
                <w:b/>
              </w:rPr>
              <w:t>2450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运转类公用项目</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19</w:t>
            </w:r>
            <w:r>
              <w:rPr>
                <w:rFonts w:hint="eastAsia" w:ascii="方正书宋_GBK" w:eastAsia="方正书宋_GBK"/>
                <w:lang w:val="en-US" w:eastAsia="zh-CN"/>
              </w:rPr>
              <w:t>.</w:t>
            </w:r>
            <w:r>
              <w:rPr>
                <w:rFonts w:hint="eastAsia" w:ascii="方正书宋_GBK" w:eastAsia="方正书宋_GBK"/>
              </w:rPr>
              <w:t>4880</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复印纸</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A090101</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包</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80</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0.00</w:t>
            </w:r>
            <w:r>
              <w:rPr>
                <w:rFonts w:hint="eastAsia" w:ascii="方正书宋_GBK" w:eastAsia="方正书宋_GBK"/>
              </w:rPr>
              <w:t>25</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hint="eastAsia" w:ascii="方正书宋_GBK" w:eastAsia="方正书宋_GBK"/>
              </w:rPr>
              <w:t>2000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hint="eastAsia" w:ascii="方正书宋_GBK" w:eastAsia="方正书宋_GBK"/>
              </w:rPr>
              <w:t>2000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老科协专项公用经费</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2</w:t>
            </w:r>
            <w:r>
              <w:rPr>
                <w:rFonts w:hint="eastAsia" w:ascii="方正书宋_GBK" w:eastAsia="方正书宋_GBK"/>
                <w:lang w:val="en-US" w:eastAsia="zh-CN"/>
              </w:rPr>
              <w:t>.</w:t>
            </w:r>
            <w:r>
              <w:rPr>
                <w:rFonts w:hint="eastAsia" w:ascii="方正书宋_GBK" w:eastAsia="方正书宋_GBK"/>
              </w:rPr>
              <w:t>5500</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复印纸</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A090101</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包</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10</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0.00</w:t>
            </w:r>
            <w:r>
              <w:rPr>
                <w:rFonts w:hint="eastAsia" w:ascii="方正书宋_GBK" w:eastAsia="方正书宋_GBK"/>
              </w:rPr>
              <w:t>25</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250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250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老科协专项公用经费</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2</w:t>
            </w:r>
            <w:r>
              <w:rPr>
                <w:rFonts w:hint="eastAsia" w:ascii="方正书宋_GBK" w:eastAsia="方正书宋_GBK"/>
                <w:lang w:val="en-US" w:eastAsia="zh-CN"/>
              </w:rPr>
              <w:t>.</w:t>
            </w:r>
            <w:r>
              <w:rPr>
                <w:rFonts w:hint="eastAsia" w:ascii="方正书宋_GBK" w:eastAsia="方正书宋_GBK"/>
              </w:rPr>
              <w:t>5500</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C08140199</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件</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100</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100</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w:t>
            </w:r>
            <w:r>
              <w:rPr>
                <w:rFonts w:hint="eastAsia" w:ascii="方正书宋_GBK" w:eastAsia="方正书宋_GBK"/>
                <w:lang w:val="en-US" w:eastAsia="zh-CN"/>
              </w:rPr>
              <w:t>.</w:t>
            </w:r>
            <w:r>
              <w:rPr>
                <w:rFonts w:hint="eastAsia" w:ascii="方正书宋_GBK" w:eastAsia="方正书宋_GBK"/>
              </w:rPr>
              <w:t>0000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w:t>
            </w:r>
            <w:r>
              <w:rPr>
                <w:rFonts w:hint="eastAsia" w:ascii="方正书宋_GBK" w:eastAsia="方正书宋_GBK"/>
                <w:lang w:val="en-US" w:eastAsia="zh-CN"/>
              </w:rPr>
              <w:t>.</w:t>
            </w:r>
            <w:r>
              <w:rPr>
                <w:rFonts w:hint="eastAsia" w:ascii="方正书宋_GBK" w:eastAsia="方正书宋_GBK"/>
              </w:rPr>
              <w:t>0000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委员活动经费</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16</w:t>
            </w:r>
            <w:r>
              <w:rPr>
                <w:rFonts w:hint="eastAsia" w:ascii="方正书宋_GBK" w:eastAsia="方正书宋_GBK"/>
                <w:lang w:val="en-US" w:eastAsia="zh-CN"/>
              </w:rPr>
              <w:t>.</w:t>
            </w:r>
            <w:r>
              <w:rPr>
                <w:rFonts w:hint="eastAsia" w:ascii="方正书宋_GBK" w:eastAsia="方正书宋_GBK"/>
              </w:rPr>
              <w:t>4641</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复印纸</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A090101</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包</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32</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0.00</w:t>
            </w:r>
            <w:r>
              <w:rPr>
                <w:rFonts w:hint="eastAsia" w:ascii="方正书宋_GBK" w:eastAsia="方正书宋_GBK"/>
              </w:rPr>
              <w:t>25</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800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800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委员活动经费</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16</w:t>
            </w:r>
            <w:r>
              <w:rPr>
                <w:rFonts w:hint="eastAsia" w:ascii="方正书宋_GBK" w:eastAsia="方正书宋_GBK"/>
                <w:lang w:val="en-US" w:eastAsia="zh-CN"/>
              </w:rPr>
              <w:t>.</w:t>
            </w:r>
            <w:r>
              <w:rPr>
                <w:rFonts w:hint="eastAsia" w:ascii="方正书宋_GBK" w:eastAsia="方正书宋_GBK"/>
              </w:rPr>
              <w:t>4641</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C08140199</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件</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100</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200</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2</w:t>
            </w:r>
            <w:r>
              <w:rPr>
                <w:rFonts w:hint="eastAsia" w:ascii="方正书宋_GBK" w:eastAsia="方正书宋_GBK"/>
                <w:lang w:val="en-US" w:eastAsia="zh-CN"/>
              </w:rPr>
              <w:t>.</w:t>
            </w:r>
            <w:r>
              <w:rPr>
                <w:rFonts w:hint="eastAsia" w:ascii="方正书宋_GBK" w:eastAsia="方正书宋_GBK"/>
              </w:rPr>
              <w:t>0000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2</w:t>
            </w:r>
            <w:r>
              <w:rPr>
                <w:rFonts w:hint="eastAsia" w:ascii="方正书宋_GBK" w:eastAsia="方正书宋_GBK"/>
                <w:lang w:val="en-US" w:eastAsia="zh-CN"/>
              </w:rPr>
              <w:t>.</w:t>
            </w:r>
            <w:r>
              <w:rPr>
                <w:rFonts w:hint="eastAsia" w:ascii="方正书宋_GBK" w:eastAsia="方正书宋_GBK"/>
              </w:rPr>
              <w:t>0000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政协常委会议</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w:t>
            </w:r>
            <w:r>
              <w:rPr>
                <w:rFonts w:hint="eastAsia" w:ascii="方正书宋_GBK" w:eastAsia="方正书宋_GBK"/>
                <w:lang w:val="en-US" w:eastAsia="zh-CN"/>
              </w:rPr>
              <w:t>.</w:t>
            </w:r>
            <w:r>
              <w:rPr>
                <w:rFonts w:hint="eastAsia" w:ascii="方正书宋_GBK" w:eastAsia="方正书宋_GBK"/>
              </w:rPr>
              <w:t>3966</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复印纸</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A090101</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包</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10</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0.00</w:t>
            </w:r>
            <w:r>
              <w:rPr>
                <w:rFonts w:hint="eastAsia" w:ascii="方正书宋_GBK" w:eastAsia="方正书宋_GBK"/>
              </w:rPr>
              <w:t>25</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250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250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政协常委会议</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w:t>
            </w:r>
            <w:r>
              <w:rPr>
                <w:rFonts w:hint="eastAsia" w:ascii="方正书宋_GBK" w:eastAsia="方正书宋_GBK"/>
                <w:lang w:val="en-US" w:eastAsia="zh-CN"/>
              </w:rPr>
              <w:t>.</w:t>
            </w:r>
            <w:r>
              <w:rPr>
                <w:rFonts w:hint="eastAsia" w:ascii="方正书宋_GBK" w:eastAsia="方正书宋_GBK"/>
              </w:rPr>
              <w:t>3966</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C08140199</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件</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100</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150</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w:t>
            </w:r>
            <w:r>
              <w:rPr>
                <w:rFonts w:hint="eastAsia" w:ascii="方正书宋_GBK" w:eastAsia="方正书宋_GBK"/>
                <w:lang w:val="en-US" w:eastAsia="zh-CN"/>
              </w:rPr>
              <w:t>.</w:t>
            </w:r>
            <w:r>
              <w:rPr>
                <w:rFonts w:hint="eastAsia" w:ascii="方正书宋_GBK" w:eastAsia="方正书宋_GBK"/>
              </w:rPr>
              <w:t>5000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w:t>
            </w:r>
            <w:r>
              <w:rPr>
                <w:rFonts w:hint="eastAsia" w:ascii="方正书宋_GBK" w:eastAsia="方正书宋_GBK"/>
                <w:lang w:val="en-US" w:eastAsia="zh-CN"/>
              </w:rPr>
              <w:t>.</w:t>
            </w:r>
            <w:r>
              <w:rPr>
                <w:rFonts w:hint="eastAsia" w:ascii="方正书宋_GBK" w:eastAsia="方正书宋_GBK"/>
              </w:rPr>
              <w:t>5000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政协十二届五次全会</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17</w:t>
            </w:r>
            <w:r>
              <w:rPr>
                <w:rFonts w:hint="eastAsia" w:ascii="方正书宋_GBK" w:eastAsia="方正书宋_GBK"/>
                <w:lang w:val="en-US" w:eastAsia="zh-CN"/>
              </w:rPr>
              <w:t>.</w:t>
            </w:r>
            <w:r>
              <w:rPr>
                <w:rFonts w:hint="eastAsia" w:ascii="方正书宋_GBK" w:eastAsia="方正书宋_GBK"/>
              </w:rPr>
              <w:t>0544</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复印纸</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A090101</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包</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16</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0.00</w:t>
            </w:r>
            <w:r>
              <w:rPr>
                <w:rFonts w:hint="eastAsia" w:ascii="方正书宋_GBK" w:eastAsia="方正书宋_GBK"/>
              </w:rPr>
              <w:t>25</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400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400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政协十二届五次全会</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17</w:t>
            </w:r>
            <w:r>
              <w:rPr>
                <w:rFonts w:hint="eastAsia" w:ascii="方正书宋_GBK" w:eastAsia="方正书宋_GBK"/>
                <w:lang w:val="en-US" w:eastAsia="zh-CN"/>
              </w:rPr>
              <w:t>.</w:t>
            </w:r>
            <w:r>
              <w:rPr>
                <w:rFonts w:hint="eastAsia" w:ascii="方正书宋_GBK" w:eastAsia="方正书宋_GBK"/>
              </w:rPr>
              <w:t>0544</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C08140199</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件</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350</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100</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w:t>
            </w:r>
            <w:r>
              <w:rPr>
                <w:rFonts w:hint="eastAsia" w:ascii="方正书宋_GBK" w:eastAsia="方正书宋_GBK"/>
                <w:lang w:val="en-US" w:eastAsia="zh-CN"/>
              </w:rPr>
              <w:t>.</w:t>
            </w:r>
            <w:r>
              <w:rPr>
                <w:rFonts w:hint="eastAsia" w:ascii="方正书宋_GBK" w:eastAsia="方正书宋_GBK"/>
              </w:rPr>
              <w:t>5000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w:t>
            </w:r>
            <w:r>
              <w:rPr>
                <w:rFonts w:hint="eastAsia" w:ascii="方正书宋_GBK" w:eastAsia="方正书宋_GBK"/>
                <w:lang w:val="en-US" w:eastAsia="zh-CN"/>
              </w:rPr>
              <w:t>.</w:t>
            </w:r>
            <w:r>
              <w:rPr>
                <w:rFonts w:hint="eastAsia" w:ascii="方正书宋_GBK" w:eastAsia="方正书宋_GBK"/>
              </w:rPr>
              <w:t>5000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政协事务工作经费</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14</w:t>
            </w:r>
            <w:r>
              <w:rPr>
                <w:rFonts w:hint="eastAsia" w:ascii="方正书宋_GBK" w:eastAsia="方正书宋_GBK"/>
                <w:lang w:val="en-US" w:eastAsia="zh-CN"/>
              </w:rPr>
              <w:t>.</w:t>
            </w:r>
            <w:r>
              <w:rPr>
                <w:rFonts w:hint="eastAsia" w:ascii="方正书宋_GBK" w:eastAsia="方正书宋_GBK"/>
              </w:rPr>
              <w:t>8594</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A02010104</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台</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hint="eastAsia" w:ascii="方正书宋_GBK" w:eastAsia="方正书宋_GBK"/>
              </w:rPr>
              <w:t>3600</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hint="eastAsia" w:ascii="方正书宋_GBK" w:eastAsia="方正书宋_GBK"/>
              </w:rPr>
              <w:t>3600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hint="eastAsia" w:ascii="方正书宋_GBK" w:eastAsia="方正书宋_GBK"/>
              </w:rPr>
              <w:t>3600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政协事务工作经费</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14</w:t>
            </w:r>
            <w:r>
              <w:rPr>
                <w:rFonts w:hint="eastAsia" w:ascii="方正书宋_GBK" w:eastAsia="方正书宋_GBK"/>
                <w:lang w:val="en-US" w:eastAsia="zh-CN"/>
              </w:rPr>
              <w:t>.</w:t>
            </w:r>
            <w:r>
              <w:rPr>
                <w:rFonts w:hint="eastAsia" w:ascii="方正书宋_GBK" w:eastAsia="方正书宋_GBK"/>
              </w:rPr>
              <w:t>8594</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碎纸机</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A02021101</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台</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650</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650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0.0</w:t>
            </w:r>
            <w:r>
              <w:rPr>
                <w:rFonts w:hint="eastAsia" w:ascii="方正书宋_GBK" w:eastAsia="方正书宋_GBK"/>
              </w:rPr>
              <w:t>650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政协事务工作经费</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14</w:t>
            </w:r>
            <w:r>
              <w:rPr>
                <w:rFonts w:hint="eastAsia" w:ascii="方正书宋_GBK" w:eastAsia="方正书宋_GBK"/>
                <w:lang w:val="en-US" w:eastAsia="zh-CN"/>
              </w:rPr>
              <w:t>.</w:t>
            </w:r>
            <w:r>
              <w:rPr>
                <w:rFonts w:hint="eastAsia" w:ascii="方正书宋_GBK" w:eastAsia="方正书宋_GBK"/>
              </w:rPr>
              <w:t>8594</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A0206180203</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台</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hint="eastAsia" w:ascii="方正书宋_GBK" w:eastAsia="方正书宋_GBK"/>
              </w:rPr>
              <w:t>5500</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hint="eastAsia" w:ascii="方正书宋_GBK" w:eastAsia="方正书宋_GBK"/>
              </w:rPr>
              <w:t>5500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lang w:val="en-US" w:eastAsia="zh-CN"/>
              </w:rPr>
              <w:t>0.</w:t>
            </w:r>
            <w:r>
              <w:rPr>
                <w:rFonts w:hint="eastAsia" w:ascii="方正书宋_GBK" w:eastAsia="方正书宋_GBK"/>
              </w:rPr>
              <w:t>5500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政协提案管理平台系统</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18</w:t>
            </w:r>
            <w:r>
              <w:rPr>
                <w:rFonts w:hint="eastAsia" w:ascii="方正书宋_GBK" w:eastAsia="方正书宋_GBK"/>
                <w:lang w:val="en-US" w:eastAsia="zh-CN"/>
              </w:rPr>
              <w:t>.</w:t>
            </w:r>
            <w:r>
              <w:rPr>
                <w:rFonts w:hint="eastAsia" w:ascii="方正书宋_GBK" w:eastAsia="方正书宋_GBK"/>
              </w:rPr>
              <w:t>9000</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服务器</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A02010103</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个</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w:t>
            </w:r>
            <w:r>
              <w:rPr>
                <w:rFonts w:hint="eastAsia" w:ascii="方正书宋_GBK" w:eastAsia="方正书宋_GBK"/>
                <w:lang w:val="en-US" w:eastAsia="zh-CN"/>
              </w:rPr>
              <w:t>.</w:t>
            </w:r>
            <w:r>
              <w:rPr>
                <w:rFonts w:hint="eastAsia" w:ascii="方正书宋_GBK" w:eastAsia="方正书宋_GBK"/>
              </w:rPr>
              <w:t>8000</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w:t>
            </w:r>
            <w:r>
              <w:rPr>
                <w:rFonts w:hint="eastAsia" w:ascii="方正书宋_GBK" w:eastAsia="方正书宋_GBK"/>
                <w:lang w:val="en-US" w:eastAsia="zh-CN"/>
              </w:rPr>
              <w:t>.</w:t>
            </w:r>
            <w:r>
              <w:rPr>
                <w:rFonts w:hint="eastAsia" w:ascii="方正书宋_GBK" w:eastAsia="方正书宋_GBK"/>
              </w:rPr>
              <w:t>8000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3</w:t>
            </w:r>
            <w:r>
              <w:rPr>
                <w:rFonts w:hint="eastAsia" w:ascii="方正书宋_GBK" w:eastAsia="方正书宋_GBK"/>
                <w:lang w:val="en-US" w:eastAsia="zh-CN"/>
              </w:rPr>
              <w:t>.</w:t>
            </w:r>
            <w:r>
              <w:rPr>
                <w:rFonts w:hint="eastAsia" w:ascii="方正书宋_GBK" w:eastAsia="方正书宋_GBK"/>
              </w:rPr>
              <w:t>8000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政协提案管理平台系统</w:t>
            </w:r>
          </w:p>
        </w:tc>
        <w:tc>
          <w:tcPr>
            <w:tcW w:w="113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18</w:t>
            </w:r>
            <w:r>
              <w:rPr>
                <w:rFonts w:hint="eastAsia" w:ascii="方正书宋_GBK" w:eastAsia="方正书宋_GBK"/>
                <w:lang w:val="en-US" w:eastAsia="zh-CN"/>
              </w:rPr>
              <w:t>.</w:t>
            </w:r>
            <w:r>
              <w:rPr>
                <w:rFonts w:hint="eastAsia" w:ascii="方正书宋_GBK" w:eastAsia="方正书宋_GBK"/>
              </w:rPr>
              <w:t>9000</w:t>
            </w:r>
          </w:p>
        </w:tc>
        <w:tc>
          <w:tcPr>
            <w:tcW w:w="1532"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行业应用软件</w:t>
            </w:r>
          </w:p>
        </w:tc>
        <w:tc>
          <w:tcPr>
            <w:tcW w:w="1531"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eastAsia="方正书宋_GBK"/>
              </w:rPr>
            </w:pPr>
            <w:r>
              <w:rPr>
                <w:rFonts w:hint="eastAsia" w:ascii="方正书宋_GBK" w:eastAsia="方正书宋_GBK"/>
              </w:rPr>
              <w:t>A0201080302</w:t>
            </w:r>
          </w:p>
        </w:tc>
        <w:tc>
          <w:tcPr>
            <w:tcW w:w="70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个</w:t>
            </w:r>
          </w:p>
        </w:tc>
        <w:tc>
          <w:tcPr>
            <w:tcW w:w="849"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w:t>
            </w:r>
          </w:p>
        </w:tc>
        <w:tc>
          <w:tcPr>
            <w:tcW w:w="111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15</w:t>
            </w:r>
            <w:r>
              <w:rPr>
                <w:rFonts w:hint="eastAsia" w:ascii="方正书宋_GBK" w:eastAsia="方正书宋_GBK"/>
                <w:lang w:val="en-US" w:eastAsia="zh-CN"/>
              </w:rPr>
              <w:t>.</w:t>
            </w:r>
            <w:r>
              <w:rPr>
                <w:rFonts w:hint="eastAsia" w:ascii="方正书宋_GBK" w:eastAsia="方正书宋_GBK"/>
              </w:rPr>
              <w:t>1000</w:t>
            </w:r>
          </w:p>
        </w:tc>
        <w:tc>
          <w:tcPr>
            <w:tcW w:w="1095"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15</w:t>
            </w:r>
            <w:r>
              <w:rPr>
                <w:rFonts w:hint="eastAsia" w:ascii="方正书宋_GBK" w:eastAsia="方正书宋_GBK"/>
                <w:lang w:val="en-US" w:eastAsia="zh-CN"/>
              </w:rPr>
              <w:t>.</w:t>
            </w:r>
            <w:r>
              <w:rPr>
                <w:rFonts w:hint="eastAsia" w:ascii="方正书宋_GBK" w:eastAsia="方正书宋_GBK"/>
              </w:rPr>
              <w:t>1000</w:t>
            </w:r>
          </w:p>
        </w:tc>
        <w:tc>
          <w:tcPr>
            <w:tcW w:w="1028"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r>
              <w:rPr>
                <w:rFonts w:hint="eastAsia" w:ascii="方正书宋_GBK" w:eastAsia="方正书宋_GBK"/>
              </w:rPr>
              <w:t>15</w:t>
            </w:r>
            <w:r>
              <w:rPr>
                <w:rFonts w:hint="eastAsia" w:ascii="方正书宋_GBK" w:eastAsia="方正书宋_GBK"/>
                <w:lang w:val="en-US" w:eastAsia="zh-CN"/>
              </w:rPr>
              <w:t>.</w:t>
            </w:r>
            <w:r>
              <w:rPr>
                <w:rFonts w:hint="eastAsia" w:ascii="方正书宋_GBK" w:eastAsia="方正书宋_GBK"/>
              </w:rPr>
              <w:t>1000</w:t>
            </w: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right"/>
              <w:rPr>
                <w:rFonts w:ascii="方正书宋_GBK" w:eastAsia="方正书宋_GBK"/>
              </w:rPr>
            </w:pPr>
          </w:p>
        </w:tc>
      </w:tr>
    </w:tbl>
    <w:p>
      <w:pPr>
        <w:widowControl/>
        <w:jc w:val="left"/>
        <w:rPr>
          <w:rFonts w:ascii="Times New Roman" w:eastAsia="方正仿宋_GBK"/>
          <w:sz w:val="28"/>
        </w:rPr>
        <w:sectPr>
          <w:pgSz w:w="16839" w:h="11907" w:orient="landscape"/>
          <w:pgMar w:top="1361" w:right="1020" w:bottom="1361" w:left="1020" w:header="851" w:footer="992" w:gutter="0"/>
          <w:cols w:space="720" w:num="1"/>
          <w:docGrid w:type="lines" w:linePitch="312" w:charSpace="0"/>
        </w:sectPr>
      </w:pPr>
    </w:p>
    <w:p>
      <w:pPr>
        <w:pStyle w:val="2"/>
        <w:ind w:firstLine="210"/>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隆尧县政协2020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22.778943</w:t>
      </w:r>
      <w:r>
        <w:rPr>
          <w:rFonts w:ascii="Times New Roman" w:hAnsi="Times New Roman" w:eastAsia="仿宋" w:cs="Times New Roman"/>
          <w:color w:val="000000"/>
          <w:sz w:val="32"/>
          <w:szCs w:val="32"/>
        </w:rPr>
        <w:t>万元，</w:t>
      </w:r>
      <w:r>
        <w:rPr>
          <w:rFonts w:hint="eastAsia" w:ascii="仿宋" w:hAnsi="仿宋" w:eastAsia="仿宋" w:cs="仿宋"/>
          <w:kern w:val="0"/>
          <w:sz w:val="32"/>
          <w:szCs w:val="32"/>
        </w:rPr>
        <w:t>本年度国有资产拟购置情况详见政府采购表。</w:t>
      </w:r>
    </w:p>
    <w:tbl>
      <w:tblPr>
        <w:tblStyle w:val="10"/>
        <w:tblW w:w="135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3"/>
        <w:gridCol w:w="2256"/>
        <w:gridCol w:w="2257"/>
        <w:gridCol w:w="4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trPr>
        <w:tc>
          <w:tcPr>
            <w:tcW w:w="13540" w:type="dxa"/>
            <w:gridSpan w:val="4"/>
          </w:tcPr>
          <w:p>
            <w:pPr>
              <w:autoSpaceDE w:val="0"/>
              <w:autoSpaceDN w:val="0"/>
              <w:jc w:val="center"/>
              <w:rPr>
                <w:rFonts w:ascii="仿宋_GB2312" w:hAnsi="仿宋_GB2312" w:eastAsia="仿宋_GB2312"/>
                <w:color w:val="000000"/>
                <w:sz w:val="24"/>
              </w:rPr>
            </w:pPr>
            <w:r>
              <w:rPr>
                <w:rFonts w:hint="eastAsia" w:ascii="仿宋_GB2312" w:hAnsi="仿宋_GB2312" w:eastAsia="仿宋_GB2312"/>
                <w:color w:val="000000"/>
                <w:sz w:val="24"/>
              </w:rPr>
              <w:t>隆尧县政协固定资产占用情况表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6769" w:type="dxa"/>
            <w:gridSpan w:val="2"/>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编制部门：隆尧县政协 </w:t>
            </w:r>
          </w:p>
        </w:tc>
        <w:tc>
          <w:tcPr>
            <w:tcW w:w="6771" w:type="dxa"/>
            <w:gridSpan w:val="2"/>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截止时间：2020年12月31日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项 目 </w:t>
            </w:r>
          </w:p>
        </w:tc>
        <w:tc>
          <w:tcPr>
            <w:tcW w:w="4513" w:type="dxa"/>
            <w:gridSpan w:val="2"/>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数量 </w:t>
            </w:r>
          </w:p>
        </w:tc>
        <w:tc>
          <w:tcPr>
            <w:tcW w:w="4514" w:type="dxa"/>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价值（金额单位：万元）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资产总额 </w:t>
            </w:r>
          </w:p>
        </w:tc>
        <w:tc>
          <w:tcPr>
            <w:tcW w:w="4513" w:type="dxa"/>
            <w:gridSpan w:val="2"/>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 </w:t>
            </w:r>
          </w:p>
        </w:tc>
        <w:tc>
          <w:tcPr>
            <w:tcW w:w="4514" w:type="dxa"/>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22.778943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1、房屋（平方米） </w:t>
            </w:r>
          </w:p>
        </w:tc>
        <w:tc>
          <w:tcPr>
            <w:tcW w:w="4513" w:type="dxa"/>
            <w:gridSpan w:val="2"/>
          </w:tcPr>
          <w:p>
            <w:pPr>
              <w:autoSpaceDE w:val="0"/>
              <w:autoSpaceDN w:val="0"/>
              <w:rPr>
                <w:rFonts w:ascii="仿宋_GB2312" w:hAnsi="仿宋_GB2312" w:eastAsia="仿宋_GB2312"/>
                <w:color w:val="000000"/>
                <w:sz w:val="24"/>
              </w:rPr>
            </w:pPr>
          </w:p>
        </w:tc>
        <w:tc>
          <w:tcPr>
            <w:tcW w:w="4514" w:type="dxa"/>
          </w:tcPr>
          <w:p>
            <w:pPr>
              <w:autoSpaceDE w:val="0"/>
              <w:autoSpaceDN w:val="0"/>
              <w:rPr>
                <w:rFonts w:ascii="仿宋_GB2312" w:hAnsi="仿宋_GB2312" w:eastAsia="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其中：办公用房（平方米） </w:t>
            </w:r>
          </w:p>
        </w:tc>
        <w:tc>
          <w:tcPr>
            <w:tcW w:w="4513" w:type="dxa"/>
            <w:gridSpan w:val="2"/>
          </w:tcPr>
          <w:p>
            <w:pPr>
              <w:autoSpaceDE w:val="0"/>
              <w:autoSpaceDN w:val="0"/>
              <w:rPr>
                <w:rFonts w:ascii="仿宋_GB2312" w:hAnsi="仿宋_GB2312" w:eastAsia="仿宋_GB2312"/>
                <w:color w:val="000000"/>
                <w:sz w:val="24"/>
              </w:rPr>
            </w:pPr>
          </w:p>
        </w:tc>
        <w:tc>
          <w:tcPr>
            <w:tcW w:w="4514" w:type="dxa"/>
          </w:tcPr>
          <w:p>
            <w:pPr>
              <w:autoSpaceDE w:val="0"/>
              <w:autoSpaceDN w:val="0"/>
              <w:rPr>
                <w:rFonts w:ascii="仿宋_GB2312" w:hAnsi="仿宋_GB2312" w:eastAsia="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2、车辆（台、辆） </w:t>
            </w:r>
          </w:p>
        </w:tc>
        <w:tc>
          <w:tcPr>
            <w:tcW w:w="4513" w:type="dxa"/>
            <w:gridSpan w:val="2"/>
          </w:tcPr>
          <w:p>
            <w:pPr>
              <w:autoSpaceDE w:val="0"/>
              <w:autoSpaceDN w:val="0"/>
              <w:rPr>
                <w:rFonts w:ascii="仿宋_GB2312" w:hAnsi="仿宋_GB2312" w:eastAsia="仿宋_GB2312"/>
                <w:color w:val="000000"/>
                <w:sz w:val="24"/>
              </w:rPr>
            </w:pPr>
          </w:p>
        </w:tc>
        <w:tc>
          <w:tcPr>
            <w:tcW w:w="4514" w:type="dxa"/>
          </w:tcPr>
          <w:p>
            <w:pPr>
              <w:autoSpaceDE w:val="0"/>
              <w:autoSpaceDN w:val="0"/>
              <w:rPr>
                <w:rFonts w:ascii="仿宋_GB2312" w:hAnsi="仿宋_GB2312" w:eastAsia="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3、其他设备 </w:t>
            </w:r>
          </w:p>
        </w:tc>
        <w:tc>
          <w:tcPr>
            <w:tcW w:w="4513" w:type="dxa"/>
            <w:gridSpan w:val="2"/>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 </w:t>
            </w:r>
          </w:p>
        </w:tc>
        <w:tc>
          <w:tcPr>
            <w:tcW w:w="4514" w:type="dxa"/>
          </w:tcPr>
          <w:p>
            <w:pPr>
              <w:autoSpaceDE w:val="0"/>
              <w:autoSpaceDN w:val="0"/>
              <w:rPr>
                <w:rFonts w:ascii="仿宋_GB2312" w:hAnsi="仿宋_GB2312" w:eastAsia="仿宋_GB2312"/>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4513" w:type="dxa"/>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4、其他固定资产 </w:t>
            </w:r>
          </w:p>
        </w:tc>
        <w:tc>
          <w:tcPr>
            <w:tcW w:w="4513" w:type="dxa"/>
            <w:gridSpan w:val="2"/>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 xml:space="preserve">—— </w:t>
            </w:r>
          </w:p>
        </w:tc>
        <w:tc>
          <w:tcPr>
            <w:tcW w:w="4514" w:type="dxa"/>
          </w:tcPr>
          <w:p>
            <w:pPr>
              <w:autoSpaceDE w:val="0"/>
              <w:autoSpaceDN w:val="0"/>
              <w:rPr>
                <w:rFonts w:ascii="仿宋_GB2312" w:hAnsi="仿宋_GB2312" w:eastAsia="仿宋_GB2312"/>
                <w:color w:val="000000"/>
                <w:sz w:val="24"/>
              </w:rPr>
            </w:pPr>
            <w:r>
              <w:rPr>
                <w:rFonts w:hint="eastAsia" w:ascii="仿宋_GB2312" w:hAnsi="仿宋_GB2312" w:eastAsia="仿宋_GB2312"/>
                <w:color w:val="000000"/>
                <w:sz w:val="24"/>
              </w:rPr>
              <w:t>22.778943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bookmarkStart w:id="3" w:name="_GoBack"/>
      <w:bookmarkEnd w:id="3"/>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BF2E45"/>
    <w:multiLevelType w:val="singleLevel"/>
    <w:tmpl w:val="15BF2E4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NTk3YmFlYTUxMWYxMDM5OTY5ZGM2OWY0Nzg1MThlZWYifQ=="/>
  </w:docVars>
  <w:rsids>
    <w:rsidRoot w:val="00C67CC4"/>
    <w:rsid w:val="0000235E"/>
    <w:rsid w:val="002501C9"/>
    <w:rsid w:val="003F4292"/>
    <w:rsid w:val="0046545D"/>
    <w:rsid w:val="005F0502"/>
    <w:rsid w:val="007941F0"/>
    <w:rsid w:val="008E4B79"/>
    <w:rsid w:val="009C5484"/>
    <w:rsid w:val="00A5050A"/>
    <w:rsid w:val="00AC7783"/>
    <w:rsid w:val="00C40AA4"/>
    <w:rsid w:val="00C67CC4"/>
    <w:rsid w:val="00EC3709"/>
    <w:rsid w:val="00F73D27"/>
    <w:rsid w:val="01804617"/>
    <w:rsid w:val="018E50D2"/>
    <w:rsid w:val="0253283B"/>
    <w:rsid w:val="02D17B65"/>
    <w:rsid w:val="05B14B4A"/>
    <w:rsid w:val="06983FBB"/>
    <w:rsid w:val="09192181"/>
    <w:rsid w:val="0A9C615C"/>
    <w:rsid w:val="0DA568A4"/>
    <w:rsid w:val="0DE021DB"/>
    <w:rsid w:val="0F211BAC"/>
    <w:rsid w:val="10056BAC"/>
    <w:rsid w:val="10EC5435"/>
    <w:rsid w:val="13C07E77"/>
    <w:rsid w:val="13EE6984"/>
    <w:rsid w:val="15503099"/>
    <w:rsid w:val="15AF63BA"/>
    <w:rsid w:val="16F4784E"/>
    <w:rsid w:val="1779372D"/>
    <w:rsid w:val="193B06BB"/>
    <w:rsid w:val="1B61763E"/>
    <w:rsid w:val="1C586C23"/>
    <w:rsid w:val="1DAF72F8"/>
    <w:rsid w:val="1E860172"/>
    <w:rsid w:val="1E890FAC"/>
    <w:rsid w:val="1F2B5BA0"/>
    <w:rsid w:val="1F6716F9"/>
    <w:rsid w:val="1FF00092"/>
    <w:rsid w:val="20141BF9"/>
    <w:rsid w:val="205D2937"/>
    <w:rsid w:val="23EB3352"/>
    <w:rsid w:val="2482147D"/>
    <w:rsid w:val="2779528D"/>
    <w:rsid w:val="297F5C66"/>
    <w:rsid w:val="29E901B7"/>
    <w:rsid w:val="2ABC2B7A"/>
    <w:rsid w:val="2C533ADD"/>
    <w:rsid w:val="2CB44478"/>
    <w:rsid w:val="2EB753DA"/>
    <w:rsid w:val="2F72569E"/>
    <w:rsid w:val="34837B30"/>
    <w:rsid w:val="34A441C9"/>
    <w:rsid w:val="356320E6"/>
    <w:rsid w:val="387F5A81"/>
    <w:rsid w:val="3A3C4E1C"/>
    <w:rsid w:val="3B7D5181"/>
    <w:rsid w:val="3BE04678"/>
    <w:rsid w:val="3C8E571F"/>
    <w:rsid w:val="3CA3161E"/>
    <w:rsid w:val="3DEA0AA1"/>
    <w:rsid w:val="3FE36D42"/>
    <w:rsid w:val="40876B5C"/>
    <w:rsid w:val="40DC5148"/>
    <w:rsid w:val="41361936"/>
    <w:rsid w:val="428547CC"/>
    <w:rsid w:val="44736765"/>
    <w:rsid w:val="44EB705A"/>
    <w:rsid w:val="461909B8"/>
    <w:rsid w:val="464175F7"/>
    <w:rsid w:val="466C598F"/>
    <w:rsid w:val="46C00FE8"/>
    <w:rsid w:val="46E629E9"/>
    <w:rsid w:val="47910709"/>
    <w:rsid w:val="47C85452"/>
    <w:rsid w:val="483B75DC"/>
    <w:rsid w:val="49525606"/>
    <w:rsid w:val="49A6550C"/>
    <w:rsid w:val="49F71BAC"/>
    <w:rsid w:val="4D1C57E0"/>
    <w:rsid w:val="4EF23923"/>
    <w:rsid w:val="500E459E"/>
    <w:rsid w:val="503B71C3"/>
    <w:rsid w:val="50AE08D0"/>
    <w:rsid w:val="52574DF0"/>
    <w:rsid w:val="53081247"/>
    <w:rsid w:val="531B5950"/>
    <w:rsid w:val="53473E3C"/>
    <w:rsid w:val="547D2DA4"/>
    <w:rsid w:val="54F24716"/>
    <w:rsid w:val="556853B3"/>
    <w:rsid w:val="55716A41"/>
    <w:rsid w:val="55842AFA"/>
    <w:rsid w:val="55D0408E"/>
    <w:rsid w:val="563D73CD"/>
    <w:rsid w:val="5641546C"/>
    <w:rsid w:val="575B42D6"/>
    <w:rsid w:val="58AD2A1A"/>
    <w:rsid w:val="58BC6E9C"/>
    <w:rsid w:val="5DAC55AF"/>
    <w:rsid w:val="60DB2FA7"/>
    <w:rsid w:val="6172790E"/>
    <w:rsid w:val="64940ABD"/>
    <w:rsid w:val="64A07EF9"/>
    <w:rsid w:val="66353C58"/>
    <w:rsid w:val="67BD11E8"/>
    <w:rsid w:val="6B751201"/>
    <w:rsid w:val="6B7C60B4"/>
    <w:rsid w:val="6BAF542B"/>
    <w:rsid w:val="6DF33BF2"/>
    <w:rsid w:val="6E293A5E"/>
    <w:rsid w:val="6E6E5891"/>
    <w:rsid w:val="6EEE1D03"/>
    <w:rsid w:val="6F7B63AC"/>
    <w:rsid w:val="72E47754"/>
    <w:rsid w:val="739B3BD2"/>
    <w:rsid w:val="74586D82"/>
    <w:rsid w:val="752A30A3"/>
    <w:rsid w:val="75354F6A"/>
    <w:rsid w:val="766057BE"/>
    <w:rsid w:val="775A4534"/>
    <w:rsid w:val="79017FFE"/>
    <w:rsid w:val="79665A2D"/>
    <w:rsid w:val="79C27C91"/>
    <w:rsid w:val="79EB1667"/>
    <w:rsid w:val="7BFA38D1"/>
    <w:rsid w:val="7C297E66"/>
    <w:rsid w:val="7C3C453E"/>
    <w:rsid w:val="7E50772B"/>
    <w:rsid w:val="7E724949"/>
    <w:rsid w:val="7E8B6EA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2"/>
      <w:lang w:val="en-US" w:eastAsia="zh-CN" w:bidi="ar-SA"/>
    </w:rPr>
  </w:style>
  <w:style w:type="character" w:default="1" w:styleId="11">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unhideWhenUsed/>
    <w:qFormat/>
    <w:uiPriority w:val="99"/>
    <w:pPr>
      <w:ind w:firstLine="100" w:firstLineChars="100"/>
    </w:pPr>
  </w:style>
  <w:style w:type="paragraph" w:styleId="3">
    <w:name w:val="Body Text"/>
    <w:basedOn w:val="1"/>
    <w:next w:val="4"/>
    <w:qFormat/>
    <w:uiPriority w:val="0"/>
    <w:pPr>
      <w:spacing w:after="120"/>
    </w:pPr>
  </w:style>
  <w:style w:type="paragraph" w:styleId="4">
    <w:name w:val="header"/>
    <w:basedOn w:val="1"/>
    <w:next w:val="5"/>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customStyle="1" w:styleId="5">
    <w:name w:val="_Style 4"/>
    <w:basedOn w:val="1"/>
    <w:next w:val="1"/>
    <w:qFormat/>
    <w:uiPriority w:val="99"/>
    <w:pPr>
      <w:widowControl/>
      <w:wordWrap w:val="0"/>
      <w:spacing w:before="200" w:after="160"/>
      <w:ind w:left="864" w:right="864"/>
      <w:jc w:val="center"/>
    </w:pPr>
    <w:rPr>
      <w:rFonts w:ascii="宋体"/>
      <w:i/>
      <w:color w:val="404040"/>
    </w:rPr>
  </w:style>
  <w:style w:type="paragraph" w:styleId="6">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7">
    <w:name w:val="toc 1"/>
    <w:basedOn w:val="1"/>
    <w:next w:val="1"/>
    <w:qFormat/>
    <w:uiPriority w:val="0"/>
    <w:rPr>
      <w:rFonts w:ascii="Times New Roman" w:hAnsi="Times New Roman" w:cs="Times New Roman"/>
      <w:szCs w:val="24"/>
    </w:rPr>
  </w:style>
  <w:style w:type="paragraph" w:styleId="8">
    <w:name w:val="footnote text"/>
    <w:basedOn w:val="1"/>
    <w:qFormat/>
    <w:uiPriority w:val="0"/>
    <w:pPr>
      <w:snapToGrid w:val="0"/>
      <w:jc w:val="left"/>
    </w:pPr>
    <w:rPr>
      <w:sz w:val="18"/>
      <w:szCs w:val="18"/>
    </w:rPr>
  </w:style>
  <w:style w:type="paragraph" w:styleId="9">
    <w:name w:val="toc 2"/>
    <w:basedOn w:val="1"/>
    <w:next w:val="1"/>
    <w:qFormat/>
    <w:uiPriority w:val="0"/>
    <w:pPr>
      <w:ind w:left="420" w:leftChars="200"/>
    </w:pPr>
    <w:rPr>
      <w:rFonts w:ascii="Times New Roman" w:hAnsi="Times New Roman" w:cs="Times New Roman"/>
      <w:szCs w:val="24"/>
    </w:rPr>
  </w:style>
  <w:style w:type="character" w:styleId="12">
    <w:name w:val="footnote reference"/>
    <w:qFormat/>
    <w:uiPriority w:val="0"/>
    <w:rPr>
      <w:vertAlign w:val="superscript"/>
    </w:rPr>
  </w:style>
  <w:style w:type="paragraph" w:customStyle="1" w:styleId="13">
    <w:name w:val="Char"/>
    <w:basedOn w:val="1"/>
    <w:qFormat/>
    <w:uiPriority w:val="0"/>
    <w:rPr>
      <w:rFonts w:ascii="Times New Roman" w:hAnsi="Times New Roman" w:cs="Times New Roman"/>
      <w:szCs w:val="24"/>
    </w:rPr>
  </w:style>
  <w:style w:type="character" w:customStyle="1" w:styleId="14">
    <w:name w:val="页脚 Char"/>
    <w:link w:val="6"/>
    <w:semiHidden/>
    <w:qFormat/>
    <w:uiPriority w:val="0"/>
    <w:rPr>
      <w:rFonts w:ascii="Times New Roman" w:hAnsi="Times New Roman" w:eastAsia="宋体" w:cs="Times New Roman"/>
      <w:sz w:val="18"/>
      <w:szCs w:val="18"/>
    </w:rPr>
  </w:style>
  <w:style w:type="character" w:customStyle="1" w:styleId="15">
    <w:name w:val="页眉 Char"/>
    <w:link w:val="4"/>
    <w:semiHidden/>
    <w:qFormat/>
    <w:uiPriority w:val="0"/>
    <w:rPr>
      <w:rFonts w:ascii="Times New Roman" w:hAnsi="Times New Roman" w:eastAsia="宋体" w:cs="Times New Roman"/>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20</Pages>
  <Words>8237</Words>
  <Characters>9045</Characters>
  <Lines>75</Lines>
  <Paragraphs>21</Paragraphs>
  <TotalTime>13</TotalTime>
  <ScaleCrop>false</ScaleCrop>
  <LinksUpToDate>false</LinksUpToDate>
  <CharactersWithSpaces>9116</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WPS_1629022439</cp:lastModifiedBy>
  <cp:lastPrinted>2017-02-10T09:57:00Z</cp:lastPrinted>
  <dcterms:modified xsi:type="dcterms:W3CDTF">2022-07-26T08:29:30Z</dcterms:modified>
  <cp:revision>7</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03A0A13E513F44C1A4CC1B3B3CED8906</vt:lpwstr>
  </property>
</Properties>
</file>