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20" w:lineRule="exact"/>
        <w:jc w:val="center"/>
        <w:rPr>
          <w:rFonts w:ascii="黑体" w:hAnsi="黑体" w:eastAsia="黑体" w:cs="方正小标宋_GBK"/>
          <w:sz w:val="44"/>
          <w:szCs w:val="44"/>
        </w:rPr>
      </w:pPr>
      <w:r>
        <w:rPr>
          <w:rFonts w:hint="eastAsia" w:ascii="黑体" w:hAnsi="黑体" w:eastAsia="黑体" w:cs="方正小标宋_GBK"/>
          <w:sz w:val="44"/>
          <w:szCs w:val="44"/>
        </w:rPr>
        <w:t>隆尧县工业经济联合会秘书处</w:t>
      </w:r>
    </w:p>
    <w:p>
      <w:pPr>
        <w:spacing w:line="720" w:lineRule="exact"/>
        <w:jc w:val="center"/>
        <w:rPr>
          <w:rFonts w:ascii="黑体" w:hAnsi="黑体" w:eastAsia="黑体"/>
          <w:sz w:val="44"/>
          <w:szCs w:val="44"/>
        </w:rPr>
      </w:pPr>
      <w:r>
        <w:rPr>
          <w:rFonts w:ascii="黑体" w:hAnsi="黑体" w:eastAsia="黑体"/>
          <w:sz w:val="44"/>
          <w:szCs w:val="44"/>
        </w:rPr>
        <w:t>2021</w:t>
      </w:r>
      <w:r>
        <w:rPr>
          <w:rFonts w:hint="eastAsia" w:ascii="黑体" w:hAnsi="黑体" w:eastAsia="黑体"/>
          <w:sz w:val="44"/>
          <w:szCs w:val="44"/>
        </w:rPr>
        <w:t>年部门预算信息公开情况说明</w:t>
      </w:r>
    </w:p>
    <w:p>
      <w:pPr>
        <w:jc w:val="center"/>
        <w:rPr>
          <w:rFonts w:ascii="黑体" w:hAnsi="黑体" w:eastAsia="黑体"/>
          <w:sz w:val="44"/>
          <w:szCs w:val="44"/>
        </w:rPr>
      </w:pP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sz w:val="32"/>
          <w:szCs w:val="32"/>
        </w:rPr>
        <w:t>按照《预算法》、《地方预决算公开操作规程》和《河北省省级预算公开办法》规定，现将隆尧县工业经济联合会秘书处2021年部门预算公开如下：</w:t>
      </w:r>
    </w:p>
    <w:p>
      <w:pPr>
        <w:keepNext w:val="0"/>
        <w:keepLines w:val="0"/>
        <w:pageBreakBefore w:val="0"/>
        <w:widowControl w:val="0"/>
        <w:kinsoku/>
        <w:wordWrap/>
        <w:overflowPunct/>
        <w:topLinePunct w:val="0"/>
        <w:autoSpaceDE/>
        <w:autoSpaceDN/>
        <w:bidi w:val="0"/>
        <w:spacing w:line="600" w:lineRule="exact"/>
        <w:ind w:firstLine="640"/>
        <w:textAlignment w:val="auto"/>
        <w:rPr>
          <w:rFonts w:ascii="黑体" w:hAnsi="黑体" w:eastAsia="黑体"/>
          <w:sz w:val="32"/>
          <w:szCs w:val="32"/>
        </w:rPr>
      </w:pPr>
      <w:r>
        <w:rPr>
          <w:rFonts w:hint="eastAsia" w:ascii="黑体" w:hAnsi="黑体" w:eastAsia="黑体"/>
          <w:sz w:val="32"/>
          <w:szCs w:val="32"/>
        </w:rPr>
        <w:t>一、部门职责及机构设置情况</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部门职责：</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隆尧县工业经济联合会秘书处承担隆尧县工业经济联合会的日常工作。主要职责是：</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1、宣传贯彻国家和省市有关法律法规和各项方针政策；</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2、和省、市工业经济联合会加强联系沟通，利用多种形式和平台，组织和引导工业企业开展国际合作、区域合作、产业合作，推进与世界各国和地区工商协会的交流与合作及招商引资活动。</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3、组织开展调查研究，及时向县政府反映行业、地区、企业发展情况，并提出政策建议；</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4、反映会员要求，协调会员关系，维护会员的合法权益。</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5、大力推进工业企业社会责任体系建设、管理创新体系建设和工业品牌建设，配合省工经联积极推荐县内企业参加中国工业大奖评选活动，搭建河北省企业管理创新智库平台。</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6、协调各有关行业协会及金融、科技、教育、服务等领域相关机构，搭建促进实体经济发展公共服务平台，促进跨行业信息交流与共享。</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sz w:val="32"/>
          <w:szCs w:val="32"/>
        </w:rPr>
        <w:t>7、承办县委、县政府交办的其他事项。</w:t>
      </w:r>
    </w:p>
    <w:p>
      <w:pPr>
        <w:keepNext w:val="0"/>
        <w:keepLines w:val="0"/>
        <w:pageBreakBefore w:val="0"/>
        <w:widowControl w:val="0"/>
        <w:kinsoku/>
        <w:wordWrap/>
        <w:overflowPunct/>
        <w:topLinePunct w:val="0"/>
        <w:autoSpaceDE w:val="0"/>
        <w:autoSpaceDN w:val="0"/>
        <w:bidi w:val="0"/>
        <w:adjustRightInd w:val="0"/>
        <w:snapToGrid/>
        <w:spacing w:line="600" w:lineRule="exact"/>
        <w:ind w:firstLine="640" w:firstLineChars="200"/>
        <w:jc w:val="left"/>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机构设置：</w:t>
      </w:r>
    </w:p>
    <w:p>
      <w:pPr>
        <w:jc w:val="center"/>
        <w:outlineLvl w:val="0"/>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部门机构设置情况</w:t>
      </w:r>
    </w:p>
    <w:tbl>
      <w:tblPr>
        <w:tblStyle w:val="10"/>
        <w:tblW w:w="123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25"/>
        <w:gridCol w:w="1922"/>
        <w:gridCol w:w="2169"/>
        <w:gridCol w:w="3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825" w:type="dxa"/>
            <w:vMerge w:val="restart"/>
            <w:vAlign w:val="center"/>
          </w:tcPr>
          <w:p>
            <w:pPr>
              <w:adjustRightInd w:val="0"/>
              <w:snapToGrid w:val="0"/>
              <w:spacing w:line="240" w:lineRule="auto"/>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单位名称</w:t>
            </w:r>
          </w:p>
        </w:tc>
        <w:tc>
          <w:tcPr>
            <w:tcW w:w="1922" w:type="dxa"/>
            <w:vMerge w:val="restart"/>
            <w:vAlign w:val="center"/>
          </w:tcPr>
          <w:p>
            <w:pPr>
              <w:adjustRightInd w:val="0"/>
              <w:snapToGrid w:val="0"/>
              <w:spacing w:line="240" w:lineRule="auto"/>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单位性质</w:t>
            </w:r>
          </w:p>
        </w:tc>
        <w:tc>
          <w:tcPr>
            <w:tcW w:w="2169" w:type="dxa"/>
            <w:vMerge w:val="restart"/>
            <w:vAlign w:val="center"/>
          </w:tcPr>
          <w:p>
            <w:pPr>
              <w:adjustRightInd w:val="0"/>
              <w:snapToGrid w:val="0"/>
              <w:spacing w:line="240" w:lineRule="auto"/>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单位规格</w:t>
            </w:r>
          </w:p>
        </w:tc>
        <w:tc>
          <w:tcPr>
            <w:tcW w:w="3474" w:type="dxa"/>
            <w:vMerge w:val="restart"/>
            <w:vAlign w:val="center"/>
          </w:tcPr>
          <w:p>
            <w:pPr>
              <w:adjustRightInd w:val="0"/>
              <w:snapToGrid w:val="0"/>
              <w:spacing w:line="240" w:lineRule="auto"/>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825" w:type="dxa"/>
            <w:vMerge w:val="continue"/>
            <w:vAlign w:val="center"/>
          </w:tcPr>
          <w:p>
            <w:pPr>
              <w:adjustRightInd w:val="0"/>
              <w:snapToGrid w:val="0"/>
              <w:spacing w:line="240" w:lineRule="auto"/>
              <w:jc w:val="center"/>
              <w:rPr>
                <w:rFonts w:hint="eastAsia" w:ascii="仿宋_GB2312" w:hAnsi="仿宋_GB2312" w:eastAsia="仿宋_GB2312" w:cs="仿宋_GB2312"/>
                <w:sz w:val="32"/>
                <w:szCs w:val="32"/>
              </w:rPr>
            </w:pPr>
          </w:p>
        </w:tc>
        <w:tc>
          <w:tcPr>
            <w:tcW w:w="1922" w:type="dxa"/>
            <w:vMerge w:val="continue"/>
            <w:vAlign w:val="center"/>
          </w:tcPr>
          <w:p>
            <w:pPr>
              <w:adjustRightInd w:val="0"/>
              <w:snapToGrid w:val="0"/>
              <w:spacing w:line="240" w:lineRule="auto"/>
              <w:jc w:val="center"/>
              <w:rPr>
                <w:rFonts w:hint="eastAsia" w:ascii="仿宋_GB2312" w:hAnsi="仿宋_GB2312" w:eastAsia="仿宋_GB2312" w:cs="仿宋_GB2312"/>
                <w:sz w:val="32"/>
                <w:szCs w:val="32"/>
              </w:rPr>
            </w:pPr>
          </w:p>
        </w:tc>
        <w:tc>
          <w:tcPr>
            <w:tcW w:w="2169" w:type="dxa"/>
            <w:vMerge w:val="continue"/>
            <w:vAlign w:val="center"/>
          </w:tcPr>
          <w:p>
            <w:pPr>
              <w:adjustRightInd w:val="0"/>
              <w:snapToGrid w:val="0"/>
              <w:spacing w:line="240" w:lineRule="auto"/>
              <w:jc w:val="center"/>
              <w:rPr>
                <w:rFonts w:hint="eastAsia" w:ascii="仿宋_GB2312" w:hAnsi="仿宋_GB2312" w:eastAsia="仿宋_GB2312" w:cs="仿宋_GB2312"/>
                <w:sz w:val="32"/>
                <w:szCs w:val="32"/>
              </w:rPr>
            </w:pPr>
          </w:p>
        </w:tc>
        <w:tc>
          <w:tcPr>
            <w:tcW w:w="3474" w:type="dxa"/>
            <w:vMerge w:val="continue"/>
            <w:vAlign w:val="center"/>
          </w:tcPr>
          <w:p>
            <w:pPr>
              <w:adjustRightInd w:val="0"/>
              <w:snapToGrid w:val="0"/>
              <w:spacing w:line="240" w:lineRule="auto"/>
              <w:jc w:val="center"/>
              <w:rPr>
                <w:rFonts w:hint="eastAsia" w:ascii="仿宋_GB2312" w:hAnsi="仿宋_GB2312" w:eastAsia="仿宋_GB2312" w:cs="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4" w:hRule="atLeast"/>
          <w:jc w:val="center"/>
        </w:trPr>
        <w:tc>
          <w:tcPr>
            <w:tcW w:w="4825" w:type="dxa"/>
            <w:vAlign w:val="center"/>
          </w:tcPr>
          <w:p>
            <w:pPr>
              <w:adjustRightInd w:val="0"/>
              <w:snapToGrid w:val="0"/>
              <w:spacing w:line="240" w:lineRule="auto"/>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隆尧县工业经济联合会秘书处</w:t>
            </w:r>
          </w:p>
        </w:tc>
        <w:tc>
          <w:tcPr>
            <w:tcW w:w="1922" w:type="dxa"/>
            <w:vAlign w:val="center"/>
          </w:tcPr>
          <w:p>
            <w:pPr>
              <w:adjustRightInd w:val="0"/>
              <w:snapToGrid w:val="0"/>
              <w:spacing w:line="240" w:lineRule="auto"/>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参公事业</w:t>
            </w:r>
          </w:p>
        </w:tc>
        <w:tc>
          <w:tcPr>
            <w:tcW w:w="2169" w:type="dxa"/>
            <w:vAlign w:val="center"/>
          </w:tcPr>
          <w:p>
            <w:pPr>
              <w:adjustRightInd w:val="0"/>
              <w:snapToGrid w:val="0"/>
              <w:spacing w:line="240" w:lineRule="auto"/>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正科级</w:t>
            </w:r>
          </w:p>
        </w:tc>
        <w:tc>
          <w:tcPr>
            <w:tcW w:w="3474" w:type="dxa"/>
            <w:vAlign w:val="center"/>
          </w:tcPr>
          <w:p>
            <w:pPr>
              <w:adjustRightInd w:val="0"/>
              <w:snapToGrid w:val="0"/>
              <w:spacing w:line="240" w:lineRule="auto"/>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财政拨款</w:t>
            </w:r>
          </w:p>
        </w:tc>
      </w:tr>
    </w:tbl>
    <w:p>
      <w:pPr>
        <w:spacing w:line="240" w:lineRule="exact"/>
        <w:ind w:firstLine="640" w:firstLineChars="200"/>
        <w:rPr>
          <w:rFonts w:ascii="黑体" w:hAnsi="黑体" w:eastAsia="黑体"/>
          <w:sz w:val="32"/>
          <w:szCs w:val="32"/>
        </w:rPr>
      </w:pPr>
    </w:p>
    <w:p>
      <w:pPr>
        <w:spacing w:line="240" w:lineRule="exact"/>
        <w:ind w:firstLine="640" w:firstLineChars="200"/>
        <w:rPr>
          <w:rFonts w:ascii="黑体" w:hAnsi="黑体" w:eastAsia="黑体"/>
          <w:sz w:val="32"/>
          <w:szCs w:val="32"/>
        </w:rPr>
      </w:pPr>
    </w:p>
    <w:p>
      <w:pPr>
        <w:keepNext w:val="0"/>
        <w:keepLines w:val="0"/>
        <w:pageBreakBefore w:val="0"/>
        <w:widowControl w:val="0"/>
        <w:kinsoku/>
        <w:wordWrap/>
        <w:overflowPunct/>
        <w:topLinePunct w:val="0"/>
        <w:bidi w:val="0"/>
        <w:spacing w:line="600" w:lineRule="exact"/>
        <w:ind w:firstLine="640" w:firstLineChars="200"/>
        <w:textAlignment w:val="auto"/>
        <w:rPr>
          <w:rFonts w:ascii="黑体" w:hAnsi="黑体" w:eastAsia="黑体"/>
          <w:sz w:val="32"/>
          <w:szCs w:val="32"/>
        </w:rPr>
      </w:pPr>
      <w:r>
        <w:rPr>
          <w:rFonts w:hint="eastAsia" w:ascii="黑体" w:hAnsi="黑体" w:eastAsia="黑体"/>
          <w:sz w:val="32"/>
          <w:szCs w:val="32"/>
        </w:rPr>
        <w:t>二、部门预算安排的总体情况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 w:eastAsia="仿宋_GB2312" w:cs="仿宋"/>
          <w:sz w:val="32"/>
          <w:szCs w:val="32"/>
          <w:lang w:eastAsia="zh-CN"/>
        </w:rPr>
      </w:pPr>
      <w:r>
        <w:rPr>
          <w:rFonts w:hint="eastAsia" w:ascii="仿宋_GB2312" w:hAnsi="仿宋" w:eastAsia="仿宋_GB2312" w:cs="仿宋"/>
          <w:sz w:val="32"/>
          <w:szCs w:val="32"/>
        </w:rPr>
        <w:t>按照预算管理有关规定，目前我县部门预算的编制实行综合预算管理，即全部收入和支出都反映在预算中。隆尧县工业经济联合会秘书处的收支包含在部门预算中。</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反映本部门当年全部收入。2021年预算收入44.82万元，其中：一般公共预算收入44.82万元，基金预算收入0万元，财政专户核拨收入0万元，其他来源收入（单位资金）0万元。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收支预算总表支出栏、基本支出表、项目支出表按经济分类和支出功能分类科目编制，反映隆尧县工业经济联合会秘书处年度部门预算中支出预算的总体情况。2021年支出预算44.82万元，其中基本支出36.26万元，包括人员经费32.28万元和日常公用经费3.98万元；项目支出8.56万元，主要是《隆尧县工业志》编纂费项目6.36万元、工经联专项经费项目2.2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3、比上年增减情况</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2021年预算收支安排44.82万元，较2020年年初预算减少19.97万元，其中：基本支出增加9.17万元，主要为增加人员经费支出；项目支出减少29.14万元，主要为《隆尧县工业志》编纂项目费用减少。</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p>
    <w:p>
      <w:pPr>
        <w:keepNext w:val="0"/>
        <w:keepLines w:val="0"/>
        <w:pageBreakBefore w:val="0"/>
        <w:widowControl w:val="0"/>
        <w:kinsoku/>
        <w:wordWrap/>
        <w:overflowPunct/>
        <w:topLinePunct w:val="0"/>
        <w:autoSpaceDE w:val="0"/>
        <w:autoSpaceDN w:val="0"/>
        <w:bidi w:val="0"/>
        <w:adjustRightInd w:val="0"/>
        <w:spacing w:line="600" w:lineRule="exact"/>
        <w:ind w:firstLine="640" w:firstLineChars="200"/>
        <w:jc w:val="left"/>
        <w:textAlignment w:val="auto"/>
        <w:rPr>
          <w:rFonts w:ascii="黑体" w:hAnsi="黑体" w:eastAsia="黑体"/>
          <w:sz w:val="32"/>
          <w:szCs w:val="32"/>
        </w:rPr>
      </w:pPr>
      <w:r>
        <w:rPr>
          <w:rFonts w:hint="eastAsia" w:ascii="黑体" w:hAnsi="黑体" w:eastAsia="黑体"/>
          <w:sz w:val="32"/>
          <w:szCs w:val="32"/>
        </w:rPr>
        <w:t>三、机关运行经费安排情况</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2021年，我部门机关运行经费共计安排3.98万元，主要用于保证机关正常运转的办公费、邮电费等日常运行支出。</w:t>
      </w:r>
    </w:p>
    <w:p>
      <w:pPr>
        <w:keepNext w:val="0"/>
        <w:keepLines w:val="0"/>
        <w:pageBreakBefore w:val="0"/>
        <w:widowControl w:val="0"/>
        <w:kinsoku/>
        <w:wordWrap/>
        <w:overflowPunct/>
        <w:topLinePunct w:val="0"/>
        <w:autoSpaceDE w:val="0"/>
        <w:autoSpaceDN w:val="0"/>
        <w:bidi w:val="0"/>
        <w:adjustRightInd w:val="0"/>
        <w:spacing w:line="600" w:lineRule="exact"/>
        <w:ind w:firstLine="640" w:firstLineChars="200"/>
        <w:jc w:val="left"/>
        <w:textAlignment w:val="auto"/>
        <w:rPr>
          <w:rFonts w:ascii="黑体" w:hAnsi="黑体" w:eastAsia="黑体"/>
          <w:sz w:val="32"/>
          <w:szCs w:val="32"/>
        </w:rPr>
      </w:pPr>
      <w:r>
        <w:rPr>
          <w:rFonts w:hint="eastAsia" w:ascii="黑体" w:hAnsi="黑体" w:eastAsia="黑体"/>
          <w:sz w:val="32"/>
          <w:szCs w:val="32"/>
        </w:rPr>
        <w:t>四、财政拨款“三公”经费预算情况及增减变化原因</w:t>
      </w:r>
    </w:p>
    <w:p>
      <w:pPr>
        <w:adjustRightInd w:val="0"/>
        <w:snapToGrid w:val="0"/>
        <w:spacing w:line="60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2021年，我单位财政拨款“三公”经费预算安排0万元，其中因公出国（境）费0万元,</w:t>
      </w:r>
      <w:r>
        <w:rPr>
          <w:rFonts w:hint="eastAsia" w:ascii="Times New Roman" w:hAnsi="Times New Roman" w:eastAsia="仿宋" w:cs="仿宋"/>
          <w:sz w:val="32"/>
          <w:szCs w:val="32"/>
        </w:rPr>
        <w:t xml:space="preserve"> </w:t>
      </w:r>
      <w:r>
        <w:rPr>
          <w:rFonts w:hint="eastAsia" w:ascii="仿宋_GB2312" w:hAnsi="仿宋" w:eastAsia="仿宋_GB2312" w:cs="仿宋"/>
          <w:sz w:val="32"/>
          <w:szCs w:val="32"/>
        </w:rPr>
        <w:t>与上年持平，无增减情况；公务用车购置及运维费0万元（其中：公务用车购置费为0万元，公务用车运维费0万元)</w:t>
      </w:r>
      <w:r>
        <w:rPr>
          <w:rFonts w:hint="eastAsia" w:ascii="Times New Roman" w:hAnsi="Times New Roman" w:eastAsia="仿宋" w:cs="仿宋"/>
          <w:sz w:val="32"/>
          <w:szCs w:val="32"/>
        </w:rPr>
        <w:t xml:space="preserve"> </w:t>
      </w:r>
      <w:r>
        <w:rPr>
          <w:rFonts w:hint="eastAsia" w:ascii="仿宋_GB2312" w:hAnsi="仿宋" w:eastAsia="仿宋_GB2312" w:cs="仿宋"/>
          <w:sz w:val="32"/>
          <w:szCs w:val="32"/>
        </w:rPr>
        <w:t>与上年持平，无增减情况；公务接待费0万元，与上年持平，无增减情况。</w:t>
      </w:r>
    </w:p>
    <w:p>
      <w:pPr>
        <w:keepNext w:val="0"/>
        <w:keepLines w:val="0"/>
        <w:pageBreakBefore w:val="0"/>
        <w:widowControl w:val="0"/>
        <w:kinsoku/>
        <w:wordWrap/>
        <w:overflowPunct/>
        <w:topLinePunct w:val="0"/>
        <w:bidi w:val="0"/>
        <w:spacing w:line="600" w:lineRule="exact"/>
        <w:ind w:firstLine="640" w:firstLineChars="200"/>
        <w:textAlignment w:val="auto"/>
        <w:rPr>
          <w:rFonts w:ascii="黑体" w:hAnsi="黑体" w:eastAsia="黑体"/>
          <w:sz w:val="32"/>
          <w:szCs w:val="32"/>
        </w:rPr>
      </w:pPr>
      <w:r>
        <w:rPr>
          <w:rFonts w:hint="eastAsia" w:ascii="黑体" w:hAnsi="黑体" w:eastAsia="黑体"/>
          <w:sz w:val="32"/>
          <w:szCs w:val="32"/>
        </w:rPr>
        <w:t>五、预算绩效信息</w:t>
      </w:r>
    </w:p>
    <w:p>
      <w:pPr>
        <w:keepNext w:val="0"/>
        <w:keepLines w:val="0"/>
        <w:pageBreakBefore w:val="0"/>
        <w:widowControl w:val="0"/>
        <w:kinsoku/>
        <w:wordWrap/>
        <w:overflowPunct/>
        <w:topLinePunct w:val="0"/>
        <w:bidi w:val="0"/>
        <w:spacing w:line="600" w:lineRule="exact"/>
        <w:ind w:firstLine="640" w:firstLineChars="200"/>
        <w:jc w:val="left"/>
        <w:textAlignment w:val="auto"/>
        <w:rPr>
          <w:rFonts w:hint="eastAsia" w:ascii="仿宋_GB2312" w:hAnsi="仿宋_GB2312" w:eastAsia="仿宋_GB2312" w:cs="仿宋_GB2312"/>
          <w:b/>
          <w:sz w:val="32"/>
          <w:szCs w:val="32"/>
        </w:rPr>
      </w:pPr>
      <w:bookmarkStart w:id="0" w:name="_Toc471398463"/>
      <w:r>
        <w:rPr>
          <w:rFonts w:hint="eastAsia" w:ascii="仿宋_GB2312" w:hAnsi="仿宋_GB2312" w:eastAsia="仿宋_GB2312" w:cs="仿宋_GB2312"/>
          <w:b/>
          <w:sz w:val="32"/>
          <w:szCs w:val="32"/>
        </w:rPr>
        <w:t>第一部分：部门整体绩效目标</w:t>
      </w:r>
    </w:p>
    <w:p>
      <w:pPr>
        <w:keepNext w:val="0"/>
        <w:keepLines w:val="0"/>
        <w:pageBreakBefore w:val="0"/>
        <w:widowControl w:val="0"/>
        <w:kinsoku/>
        <w:wordWrap/>
        <w:overflowPunct/>
        <w:topLinePunct w:val="0"/>
        <w:bidi w:val="0"/>
        <w:spacing w:line="600" w:lineRule="exact"/>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（一）总体绩效目标</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ascii="仿宋_GB2312" w:hAnsi="仿宋" w:eastAsia="仿宋_GB2312" w:cs="仿宋"/>
          <w:sz w:val="32"/>
          <w:szCs w:val="32"/>
        </w:rPr>
        <w:t>1</w:t>
      </w:r>
      <w:r>
        <w:rPr>
          <w:rFonts w:hint="eastAsia" w:ascii="仿宋_GB2312" w:hAnsi="仿宋" w:eastAsia="仿宋_GB2312" w:cs="仿宋"/>
          <w:sz w:val="32"/>
          <w:szCs w:val="32"/>
        </w:rPr>
        <w:t>、加强政治理论学习，完善机关规章制度。高度重视政治理论学习。继续紧跟形势发展，增强政治敏感性和责任意识，集中深入地学习党的十九大、十九届二中、三中、四中、五中全会精神和习近平新时代中国特色社会主义思想，召开专门学习研讨会，撰写学习心得体会。</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2、严谨细致筹备，做好编纂《隆尧县工业志》的组织协调工作。隆尧县工业历史悠久，但没有一部完整的志书记载，因此，编纂一部囊括隆尧工业各个门类、各个方面，能够全面反映隆尧县工业发展历程的《隆尧县工业志》十分必要。经县委、县政府批准，县工经联牵头负责《隆尧县工业志》的编纂工作。计划三年时间完成。</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3、服务企业发展，开展企业家培训会。今年计划聘请知名专家为我县民营企业上课，提高我县企业家的管理水平和综合素质。</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4、搭建银企对接平台，助力民营经济发展。针对民营企业资金短缺问题，将联系邢台银行隆尧支行等相关部门负责人员，到企业调研并召开企业家座谈会，协调解决企业发展资金短缺的实际问题。推出结合企业实际为企业量身定做的信贷产品，以解企业燃眉之急。</w:t>
      </w:r>
    </w:p>
    <w:p>
      <w:pPr>
        <w:keepNext w:val="0"/>
        <w:keepLines w:val="0"/>
        <w:pageBreakBefore w:val="0"/>
        <w:widowControl w:val="0"/>
        <w:kinsoku/>
        <w:wordWrap/>
        <w:overflowPunct/>
        <w:topLinePunct w:val="0"/>
        <w:bidi w:val="0"/>
        <w:spacing w:line="600" w:lineRule="exact"/>
        <w:ind w:firstLine="640" w:firstLineChars="200"/>
        <w:textAlignment w:val="auto"/>
        <w:rPr>
          <w:rFonts w:hint="eastAsia" w:ascii="仿宋_GB2312" w:hAnsi="仿宋_GB2312" w:eastAsia="仿宋_GB2312" w:cs="仿宋_GB2312"/>
          <w:b/>
          <w:bCs/>
          <w:sz w:val="32"/>
          <w:szCs w:val="32"/>
        </w:rPr>
      </w:pPr>
      <w:bookmarkStart w:id="1" w:name="_Toc64110028"/>
      <w:bookmarkStart w:id="2" w:name="_Toc64110071"/>
      <w:bookmarkStart w:id="3" w:name="_Toc60391233"/>
      <w:r>
        <w:rPr>
          <w:rFonts w:hint="eastAsia" w:ascii="仿宋_GB2312" w:hAnsi="仿宋_GB2312" w:eastAsia="仿宋_GB2312" w:cs="仿宋_GB2312"/>
          <w:b/>
          <w:bCs/>
          <w:sz w:val="32"/>
          <w:szCs w:val="32"/>
        </w:rPr>
        <w:t>（二）分项绩效目标</w:t>
      </w:r>
      <w:bookmarkEnd w:id="1"/>
      <w:bookmarkEnd w:id="2"/>
      <w:bookmarkEnd w:id="3"/>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tc "分项绩效目标" \f A \l 000000000000001</w:instrText>
      </w:r>
      <w:r>
        <w:rPr>
          <w:rFonts w:hint="eastAsia" w:ascii="仿宋_GB2312" w:hAnsi="仿宋_GB2312" w:eastAsia="仿宋_GB2312" w:cs="仿宋_GB2312"/>
          <w:b/>
          <w:bCs/>
          <w:sz w:val="32"/>
          <w:szCs w:val="32"/>
        </w:rPr>
        <w:fldChar w:fldCharType="end"/>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ascii="仿宋_GB2312" w:hAnsi="仿宋" w:eastAsia="仿宋_GB2312" w:cs="仿宋"/>
          <w:sz w:val="32"/>
          <w:szCs w:val="32"/>
        </w:rPr>
        <w:t>1</w:t>
      </w:r>
      <w:r>
        <w:rPr>
          <w:rFonts w:hint="eastAsia" w:ascii="仿宋_GB2312" w:hAnsi="仿宋" w:eastAsia="仿宋_GB2312" w:cs="仿宋"/>
          <w:sz w:val="32"/>
          <w:szCs w:val="32"/>
        </w:rPr>
        <w:t>、深入企业进行调研，了解企业发展中的困难和问题，帮助企业建言献策，协调解决问题。</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ascii="仿宋_GB2312" w:hAnsi="仿宋" w:eastAsia="仿宋_GB2312" w:cs="仿宋"/>
          <w:sz w:val="32"/>
          <w:szCs w:val="32"/>
        </w:rPr>
        <w:t>2</w:t>
      </w:r>
      <w:r>
        <w:rPr>
          <w:rFonts w:hint="eastAsia" w:ascii="仿宋_GB2312" w:hAnsi="仿宋" w:eastAsia="仿宋_GB2312" w:cs="仿宋"/>
          <w:sz w:val="32"/>
          <w:szCs w:val="32"/>
        </w:rPr>
        <w:t>、开展企业家培训会，组织会员企业到我县龙头企业参观学习，提升企业家综合素质，激发企业做大做强热情。</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ascii="仿宋_GB2312" w:hAnsi="仿宋" w:eastAsia="仿宋_GB2312" w:cs="仿宋"/>
          <w:sz w:val="32"/>
          <w:szCs w:val="32"/>
        </w:rPr>
        <w:t>3</w:t>
      </w:r>
      <w:r>
        <w:rPr>
          <w:rFonts w:hint="eastAsia" w:ascii="仿宋_GB2312" w:hAnsi="仿宋" w:eastAsia="仿宋_GB2312" w:cs="仿宋"/>
          <w:sz w:val="32"/>
          <w:szCs w:val="32"/>
        </w:rPr>
        <w:t>、组织召开两次银企对接会，结合金融部门力争推出符合企业实际的信贷产品，解决企业融资难题。</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4、按计划完成《隆尧县工业志》编纂工作。</w:t>
      </w:r>
    </w:p>
    <w:p>
      <w:pPr>
        <w:keepNext w:val="0"/>
        <w:keepLines w:val="0"/>
        <w:pageBreakBefore w:val="0"/>
        <w:widowControl w:val="0"/>
        <w:kinsoku/>
        <w:wordWrap/>
        <w:overflowPunct/>
        <w:topLinePunct w:val="0"/>
        <w:bidi w:val="0"/>
        <w:spacing w:line="600" w:lineRule="exact"/>
        <w:ind w:firstLine="640" w:firstLineChars="200"/>
        <w:textAlignment w:val="auto"/>
        <w:rPr>
          <w:rFonts w:hint="eastAsia" w:ascii="仿宋_GB2312" w:hAnsi="仿宋_GB2312" w:eastAsia="仿宋_GB2312" w:cs="仿宋_GB2312"/>
          <w:b/>
          <w:bCs/>
          <w:sz w:val="32"/>
          <w:szCs w:val="32"/>
        </w:rPr>
      </w:pPr>
      <w:bookmarkStart w:id="4" w:name="_Toc64110029"/>
      <w:bookmarkStart w:id="5" w:name="_Toc64110072"/>
      <w:bookmarkStart w:id="6" w:name="_Toc60391234"/>
      <w:r>
        <w:rPr>
          <w:rFonts w:hint="eastAsia" w:ascii="仿宋_GB2312" w:hAnsi="仿宋_GB2312" w:eastAsia="仿宋_GB2312" w:cs="仿宋_GB2312"/>
          <w:b/>
          <w:bCs/>
          <w:sz w:val="32"/>
          <w:szCs w:val="32"/>
        </w:rPr>
        <w:t>（三）工作保障措施</w:t>
      </w:r>
      <w:bookmarkEnd w:id="4"/>
      <w:bookmarkEnd w:id="5"/>
      <w:bookmarkEnd w:id="6"/>
      <w:r>
        <w:rPr>
          <w:rFonts w:hint="eastAsia" w:ascii="仿宋_GB2312" w:hAnsi="仿宋_GB2312" w:eastAsia="仿宋_GB2312" w:cs="仿宋_GB2312"/>
          <w:b/>
          <w:bCs/>
          <w:sz w:val="32"/>
          <w:szCs w:val="32"/>
        </w:rPr>
        <w:fldChar w:fldCharType="begin"/>
      </w:r>
      <w:r>
        <w:rPr>
          <w:rFonts w:hint="eastAsia" w:ascii="仿宋_GB2312" w:hAnsi="仿宋_GB2312" w:eastAsia="仿宋_GB2312" w:cs="仿宋_GB2312"/>
          <w:b/>
          <w:bCs/>
          <w:sz w:val="32"/>
          <w:szCs w:val="32"/>
        </w:rPr>
        <w:instrText xml:space="preserve">tc "工作保障措施" \f A \l 000000000000001</w:instrText>
      </w:r>
      <w:r>
        <w:rPr>
          <w:rFonts w:hint="eastAsia" w:ascii="仿宋_GB2312" w:hAnsi="仿宋_GB2312" w:eastAsia="仿宋_GB2312" w:cs="仿宋_GB2312"/>
          <w:b/>
          <w:bCs/>
          <w:sz w:val="32"/>
          <w:szCs w:val="32"/>
        </w:rPr>
        <w:fldChar w:fldCharType="end"/>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1、加强制度建设。建立健全单位预算绩效管理制度，为全年预算绩效目标的实现奠定制度基础。</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2、规范财务管理。进一步完善财务管理制度，通过科学编制预算、优化支出结构、加快政府采购、加快项目建设、及时拨付资金，确保经费支出进度达到规定标准。</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3、加强内部监督。加强内部监督制度建设，对绩效运行、重大支出事项、资产处置及其他重要经济业务事项决策和执行进行监督，定期开展财务内部审计，确保财政资金使用安全合规。</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4、加强绩效监控。积极开展绩效运行监控，发现问题及时采取措施，确保绩效目标如期保质实现。</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5、做好绩效自评。按要求开展部门预算绩效自评和重点项目评价工作，对评价中发现的问题及时整改。</w:t>
      </w:r>
    </w:p>
    <w:p>
      <w:pPr>
        <w:keepNext w:val="0"/>
        <w:keepLines w:val="0"/>
        <w:pageBreakBefore w:val="0"/>
        <w:widowControl w:val="0"/>
        <w:kinsoku/>
        <w:wordWrap/>
        <w:overflowPunct/>
        <w:topLinePunct w:val="0"/>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6、加强宣传培训。加强人员培训，加大宣传力度，强化预算绩效管理意识，促进预算绩效管理水平提升。</w:t>
      </w:r>
    </w:p>
    <w:p>
      <w:pPr>
        <w:keepNext w:val="0"/>
        <w:keepLines w:val="0"/>
        <w:pageBreakBefore w:val="0"/>
        <w:widowControl w:val="0"/>
        <w:kinsoku/>
        <w:wordWrap/>
        <w:overflowPunct/>
        <w:topLinePunct w:val="0"/>
        <w:bidi w:val="0"/>
        <w:spacing w:line="600" w:lineRule="exact"/>
        <w:textAlignment w:val="auto"/>
        <w:rPr>
          <w:rFonts w:ascii="Times New Roman" w:hAnsi="宋体"/>
          <w:sz w:val="52"/>
        </w:rPr>
        <w:sectPr>
          <w:headerReference r:id="rId3" w:type="default"/>
          <w:footerReference r:id="rId4" w:type="default"/>
          <w:pgSz w:w="16839" w:h="11907" w:orient="landscape"/>
          <w:pgMar w:top="1814" w:right="1531" w:bottom="1474" w:left="1531" w:header="851" w:footer="992" w:gutter="0"/>
          <w:pgNumType w:start="1"/>
          <w:cols w:space="720" w:num="1"/>
          <w:docGrid w:type="linesAndChars" w:linePitch="312" w:charSpace="0"/>
        </w:sectPr>
      </w:pPr>
    </w:p>
    <w:p>
      <w:pPr>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第二部分：预算项目绩效目标</w:t>
      </w:r>
    </w:p>
    <w:p>
      <w:pPr>
        <w:keepNext w:val="0"/>
        <w:keepLines w:val="0"/>
        <w:pageBreakBefore w:val="0"/>
        <w:widowControl w:val="0"/>
        <w:kinsoku/>
        <w:wordWrap/>
        <w:overflowPunct/>
        <w:topLinePunct w:val="0"/>
        <w:autoSpaceDE/>
        <w:autoSpaceDN/>
        <w:bidi w:val="0"/>
        <w:adjustRightInd/>
        <w:snapToGrid/>
        <w:ind w:firstLine="643" w:firstLineChars="200"/>
        <w:jc w:val="left"/>
        <w:textAlignment w:val="auto"/>
        <w:outlineLvl w:val="3"/>
        <w:rPr>
          <w:rFonts w:hint="eastAsia" w:ascii="仿宋_GB2312" w:hAnsi="仿宋_GB2312" w:eastAsia="仿宋_GB2312" w:cs="仿宋_GB2312"/>
          <w:b/>
          <w:sz w:val="32"/>
          <w:szCs w:val="24"/>
        </w:rPr>
      </w:pPr>
      <w:bookmarkStart w:id="7" w:name="_Toc66069538"/>
      <w:r>
        <w:rPr>
          <w:rFonts w:hint="eastAsia" w:ascii="仿宋_GB2312" w:hAnsi="仿宋_GB2312" w:eastAsia="仿宋_GB2312" w:cs="仿宋_GB2312"/>
          <w:b/>
          <w:sz w:val="32"/>
          <w:szCs w:val="24"/>
        </w:rPr>
        <w:t>1.《隆尧县工业志》编纂费绩效目标表</w:t>
      </w:r>
      <w:bookmarkEnd w:id="7"/>
    </w:p>
    <w:p>
      <w:pPr>
        <w:spacing w:line="14" w:lineRule="exact"/>
        <w:jc w:val="center"/>
        <w:rPr>
          <w:rFonts w:ascii="Times New Roman" w:hAnsi="宋体"/>
        </w:rPr>
      </w:pPr>
      <w:r>
        <w:rPr>
          <w:rFonts w:ascii="方正书宋_GBK" w:eastAsia="方正书宋_GBK"/>
        </w:rPr>
        <w:t xml:space="preserve"> </w:t>
      </w:r>
    </w:p>
    <w:tbl>
      <w:tblPr>
        <w:tblStyle w:val="10"/>
        <w:tblW w:w="12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6"/>
        <w:gridCol w:w="1381"/>
        <w:gridCol w:w="1755"/>
        <w:gridCol w:w="1013"/>
        <w:gridCol w:w="2046"/>
        <w:gridCol w:w="2205"/>
        <w:gridCol w:w="27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776"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766001</w:t>
            </w:r>
            <w:r>
              <w:rPr>
                <w:rFonts w:hint="eastAsia" w:ascii="方正书宋_GBK" w:eastAsia="方正书宋_GBK"/>
                <w:b/>
              </w:rPr>
              <w:t>隆尧县工业经济联合会秘书处本级</w:t>
            </w:r>
          </w:p>
        </w:tc>
        <w:tc>
          <w:tcPr>
            <w:tcW w:w="273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36"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13052521OS1N59C07B0NA</w:t>
            </w:r>
          </w:p>
        </w:tc>
        <w:tc>
          <w:tcPr>
            <w:tcW w:w="1013"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6982"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《隆尧县工业志》编纂费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38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755" w:type="dxa"/>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6.36</w:t>
            </w:r>
          </w:p>
        </w:tc>
        <w:tc>
          <w:tcPr>
            <w:tcW w:w="1013"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2046" w:type="dxa"/>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6.36</w:t>
            </w:r>
          </w:p>
        </w:tc>
        <w:tc>
          <w:tcPr>
            <w:tcW w:w="2205"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27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Merge w:val="continue"/>
            <w:shd w:val="clear" w:color="auto" w:fill="auto"/>
            <w:noWrap w:val="0"/>
            <w:vAlign w:val="center"/>
          </w:tcPr>
          <w:p>
            <w:pPr>
              <w:spacing w:line="300" w:lineRule="exact"/>
              <w:jc w:val="left"/>
              <w:outlineLvl w:val="3"/>
            </w:pPr>
          </w:p>
        </w:tc>
        <w:tc>
          <w:tcPr>
            <w:tcW w:w="11131"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聘请相关人员计划三年时间完成《隆尧县工业志》的出版发行，全面系统、客观真实、丰富准确地记载隆尧县工业发展历程。</w:t>
            </w:r>
            <w:r>
              <w:rPr>
                <w:rFonts w:ascii="方正书宋_GBK" w:eastAsia="方正书宋_GBK"/>
              </w:rPr>
              <w:t>2018</w:t>
            </w:r>
            <w:r>
              <w:rPr>
                <w:rFonts w:hint="eastAsia" w:ascii="方正书宋_GBK" w:eastAsia="方正书宋_GBK"/>
              </w:rPr>
              <w:t>、</w:t>
            </w:r>
            <w:r>
              <w:rPr>
                <w:rFonts w:ascii="方正书宋_GBK" w:eastAsia="方正书宋_GBK"/>
              </w:rPr>
              <w:t>2019</w:t>
            </w:r>
            <w:r>
              <w:rPr>
                <w:rFonts w:hint="eastAsia" w:ascii="方正书宋_GBK" w:eastAsia="方正书宋_GBK"/>
              </w:rPr>
              <w:t>年完成资料收集和部分章节初稿；</w:t>
            </w:r>
            <w:r>
              <w:rPr>
                <w:rFonts w:ascii="方正书宋_GBK" w:eastAsia="方正书宋_GBK"/>
              </w:rPr>
              <w:t>2020</w:t>
            </w:r>
            <w:r>
              <w:rPr>
                <w:rFonts w:hint="eastAsia" w:ascii="方正书宋_GBK" w:eastAsia="方正书宋_GBK"/>
              </w:rPr>
              <w:t>年完成初稿组稿及初审；</w:t>
            </w:r>
            <w:r>
              <w:rPr>
                <w:rFonts w:ascii="方正书宋_GBK" w:eastAsia="方正书宋_GBK"/>
              </w:rPr>
              <w:t>2021</w:t>
            </w:r>
            <w:r>
              <w:rPr>
                <w:rFonts w:hint="eastAsia" w:ascii="方正书宋_GBK" w:eastAsia="方正书宋_GBK"/>
              </w:rPr>
              <w:t>年出版发行。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36"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3059"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2205"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731"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vMerge w:val="continue"/>
            <w:tcBorders>
              <w:bottom w:val="single" w:color="000000" w:sz="6" w:space="0"/>
            </w:tcBorders>
            <w:shd w:val="clear" w:color="auto" w:fill="auto"/>
            <w:noWrap w:val="0"/>
            <w:vAlign w:val="center"/>
          </w:tcPr>
          <w:p>
            <w:pPr>
              <w:spacing w:line="300" w:lineRule="exact"/>
              <w:jc w:val="left"/>
              <w:outlineLvl w:val="3"/>
            </w:pPr>
          </w:p>
        </w:tc>
        <w:tc>
          <w:tcPr>
            <w:tcW w:w="3136"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3059"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2205"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731"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6"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1131"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完成《隆尧县工业志》的出版发行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全面系统、客观真实、丰富准确地记载隆尧县工业发展历程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38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755"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059" w:type="dxa"/>
            <w:gridSpan w:val="2"/>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205"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73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38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755"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编纂数量</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《隆尧县工业志》</w:t>
            </w:r>
            <w:r>
              <w:rPr>
                <w:rFonts w:ascii="方正书宋_GBK" w:eastAsia="方正书宋_GBK"/>
              </w:rPr>
              <w:t>1</w:t>
            </w:r>
            <w:r>
              <w:rPr>
                <w:rFonts w:hint="eastAsia" w:ascii="方正书宋_GBK" w:eastAsia="方正书宋_GBK"/>
              </w:rPr>
              <w:t>本</w:t>
            </w:r>
          </w:p>
        </w:tc>
        <w:tc>
          <w:tcPr>
            <w:tcW w:w="2205"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本</w:t>
            </w:r>
          </w:p>
        </w:tc>
        <w:tc>
          <w:tcPr>
            <w:tcW w:w="273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工经联【</w:t>
            </w:r>
            <w:r>
              <w:rPr>
                <w:rFonts w:ascii="方正书宋_GBK" w:eastAsia="方正书宋_GBK"/>
              </w:rPr>
              <w:t>2017</w:t>
            </w:r>
            <w:r>
              <w:rPr>
                <w:rFonts w:hint="eastAsia" w:ascii="方正书宋_GBK" w:eastAsia="方正书宋_GBK"/>
              </w:rPr>
              <w:t>】</w:t>
            </w:r>
            <w:r>
              <w:rPr>
                <w:rFonts w:ascii="方正书宋_GBK" w:eastAsia="方正书宋_GBK"/>
              </w:rPr>
              <w:t>04</w:t>
            </w:r>
            <w:r>
              <w:rPr>
                <w:rFonts w:hint="eastAsia" w:ascii="方正书宋_GBK" w:eastAsia="方正书宋_GBK"/>
              </w:rPr>
              <w:t>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vMerge w:val="continue"/>
            <w:shd w:val="clear" w:color="auto" w:fill="auto"/>
            <w:noWrap w:val="0"/>
            <w:vAlign w:val="center"/>
          </w:tcPr>
          <w:p>
            <w:pPr>
              <w:spacing w:line="300" w:lineRule="exact"/>
              <w:jc w:val="center"/>
              <w:rPr>
                <w:rFonts w:hint="eastAsia" w:ascii="方正书宋_GBK" w:eastAsia="方正书宋_GBK"/>
              </w:rPr>
            </w:pPr>
          </w:p>
        </w:tc>
        <w:tc>
          <w:tcPr>
            <w:tcW w:w="138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75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《隆尧县工业志》编纂质量</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全面系统、客观真实、丰富准确且社会反响良好</w:t>
            </w:r>
          </w:p>
        </w:tc>
        <w:tc>
          <w:tcPr>
            <w:tcW w:w="2205"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社会反响良好</w:t>
            </w:r>
          </w:p>
        </w:tc>
        <w:tc>
          <w:tcPr>
            <w:tcW w:w="27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工经联【</w:t>
            </w:r>
            <w:r>
              <w:rPr>
                <w:rFonts w:ascii="方正书宋_GBK" w:eastAsia="方正书宋_GBK"/>
              </w:rPr>
              <w:t>2017</w:t>
            </w:r>
            <w:r>
              <w:rPr>
                <w:rFonts w:hint="eastAsia" w:ascii="方正书宋_GBK" w:eastAsia="方正书宋_GBK"/>
              </w:rPr>
              <w:t>】</w:t>
            </w:r>
            <w:r>
              <w:rPr>
                <w:rFonts w:ascii="方正书宋_GBK" w:eastAsia="方正书宋_GBK"/>
              </w:rPr>
              <w:t>04</w:t>
            </w:r>
            <w:r>
              <w:rPr>
                <w:rFonts w:hint="eastAsia" w:ascii="方正书宋_GBK" w:eastAsia="方正书宋_GBK"/>
              </w:rPr>
              <w:t>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vMerge w:val="continue"/>
            <w:shd w:val="clear" w:color="auto" w:fill="auto"/>
            <w:noWrap w:val="0"/>
            <w:vAlign w:val="center"/>
          </w:tcPr>
          <w:p>
            <w:pPr>
              <w:spacing w:line="300" w:lineRule="exact"/>
              <w:jc w:val="center"/>
              <w:rPr>
                <w:rFonts w:hint="eastAsia" w:ascii="方正书宋_GBK" w:eastAsia="方正书宋_GBK"/>
              </w:rPr>
            </w:pPr>
          </w:p>
        </w:tc>
        <w:tc>
          <w:tcPr>
            <w:tcW w:w="138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75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项目按时完成率</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220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按时完成《隆尧县工业志》的出版发行</w:t>
            </w:r>
          </w:p>
        </w:tc>
        <w:tc>
          <w:tcPr>
            <w:tcW w:w="27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工经联【</w:t>
            </w:r>
            <w:r>
              <w:rPr>
                <w:rFonts w:ascii="方正书宋_GBK" w:eastAsia="方正书宋_GBK"/>
              </w:rPr>
              <w:t>2017</w:t>
            </w:r>
            <w:r>
              <w:rPr>
                <w:rFonts w:hint="eastAsia" w:ascii="方正书宋_GBK" w:eastAsia="方正书宋_GBK"/>
              </w:rPr>
              <w:t>】</w:t>
            </w:r>
            <w:r>
              <w:rPr>
                <w:rFonts w:ascii="方正书宋_GBK" w:eastAsia="方正书宋_GBK"/>
              </w:rPr>
              <w:t>04</w:t>
            </w:r>
            <w:r>
              <w:rPr>
                <w:rFonts w:hint="eastAsia" w:ascii="方正书宋_GBK" w:eastAsia="方正书宋_GBK"/>
              </w:rPr>
              <w:t>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vMerge w:val="continue"/>
            <w:shd w:val="clear" w:color="auto" w:fill="auto"/>
            <w:noWrap w:val="0"/>
            <w:vAlign w:val="center"/>
          </w:tcPr>
          <w:p>
            <w:pPr>
              <w:spacing w:line="300" w:lineRule="exact"/>
              <w:jc w:val="center"/>
              <w:rPr>
                <w:rFonts w:hint="eastAsia" w:ascii="方正书宋_GBK" w:eastAsia="方正书宋_GBK"/>
              </w:rPr>
            </w:pPr>
          </w:p>
        </w:tc>
        <w:tc>
          <w:tcPr>
            <w:tcW w:w="138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75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《隆尧县工业志》编纂费项目成本</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《隆尧县工业志》编纂费项目成本共</w:t>
            </w:r>
            <w:r>
              <w:rPr>
                <w:rFonts w:ascii="方正书宋_GBK" w:eastAsia="方正书宋_GBK"/>
              </w:rPr>
              <w:t>6.36</w:t>
            </w:r>
            <w:r>
              <w:rPr>
                <w:rFonts w:hint="eastAsia" w:ascii="方正书宋_GBK" w:eastAsia="方正书宋_GBK"/>
              </w:rPr>
              <w:t>万元</w:t>
            </w:r>
          </w:p>
        </w:tc>
        <w:tc>
          <w:tcPr>
            <w:tcW w:w="2205"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6.36</w:t>
            </w:r>
            <w:r>
              <w:rPr>
                <w:rFonts w:hint="eastAsia" w:ascii="方正书宋_GBK" w:eastAsia="方正书宋_GBK"/>
              </w:rPr>
              <w:t>万元</w:t>
            </w:r>
          </w:p>
        </w:tc>
        <w:tc>
          <w:tcPr>
            <w:tcW w:w="27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工经联【</w:t>
            </w:r>
            <w:r>
              <w:rPr>
                <w:rFonts w:ascii="方正书宋_GBK" w:eastAsia="方正书宋_GBK"/>
              </w:rPr>
              <w:t>2017</w:t>
            </w:r>
            <w:r>
              <w:rPr>
                <w:rFonts w:hint="eastAsia" w:ascii="方正书宋_GBK" w:eastAsia="方正书宋_GBK"/>
              </w:rPr>
              <w:t>】</w:t>
            </w:r>
            <w:r>
              <w:rPr>
                <w:rFonts w:ascii="方正书宋_GBK" w:eastAsia="方正书宋_GBK"/>
              </w:rPr>
              <w:t>04</w:t>
            </w:r>
            <w:r>
              <w:rPr>
                <w:rFonts w:hint="eastAsia" w:ascii="方正书宋_GBK" w:eastAsia="方正书宋_GBK"/>
              </w:rPr>
              <w:t>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38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75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是否准确记录隆尧工业发展历程</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全面系统、客观真实、丰富准确地记载隆尧县工业发展历程</w:t>
            </w:r>
          </w:p>
        </w:tc>
        <w:tc>
          <w:tcPr>
            <w:tcW w:w="2205"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7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工经联【</w:t>
            </w:r>
            <w:r>
              <w:rPr>
                <w:rFonts w:ascii="方正书宋_GBK" w:eastAsia="方正书宋_GBK"/>
              </w:rPr>
              <w:t>2017</w:t>
            </w:r>
            <w:r>
              <w:rPr>
                <w:rFonts w:hint="eastAsia" w:ascii="方正书宋_GBK" w:eastAsia="方正书宋_GBK"/>
              </w:rPr>
              <w:t>】</w:t>
            </w:r>
            <w:r>
              <w:rPr>
                <w:rFonts w:ascii="方正书宋_GBK" w:eastAsia="方正书宋_GBK"/>
              </w:rPr>
              <w:t>04</w:t>
            </w:r>
            <w:r>
              <w:rPr>
                <w:rFonts w:hint="eastAsia" w:ascii="方正书宋_GBK" w:eastAsia="方正书宋_GBK"/>
              </w:rPr>
              <w:t>号请示文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76"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38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5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3059" w:type="dxa"/>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社会反响良好，群众满意度高</w:t>
            </w:r>
          </w:p>
        </w:tc>
        <w:tc>
          <w:tcPr>
            <w:tcW w:w="2205"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7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14" w:lineRule="exact"/>
        <w:jc w:val="center"/>
        <w:rPr>
          <w:rFonts w:hint="eastAsia" w:ascii="仿宋_GB2312" w:hAnsi="仿宋_GB2312" w:eastAsia="仿宋_GB2312" w:cs="仿宋_GB2312"/>
        </w:rPr>
      </w:pPr>
      <w:r>
        <w:rPr>
          <w:rFonts w:hint="eastAsia" w:ascii="仿宋_GB2312" w:hAnsi="仿宋_GB2312" w:eastAsia="仿宋_GB2312" w:cs="仿宋_GB2312"/>
        </w:rPr>
        <w:t xml:space="preserve"> </w:t>
      </w:r>
    </w:p>
    <w:p>
      <w:pPr>
        <w:spacing w:line="300" w:lineRule="exact"/>
        <w:jc w:val="left"/>
        <w:sectPr>
          <w:footerReference r:id="rId5" w:type="default"/>
          <w:pgSz w:w="16839" w:h="11907" w:orient="landscape"/>
          <w:pgMar w:top="1304" w:right="1984" w:bottom="1304" w:left="1134" w:header="851" w:footer="992" w:gutter="0"/>
          <w:cols w:space="425" w:num="1"/>
          <w:docGrid w:type="lines" w:linePitch="312" w:charSpace="0"/>
        </w:sectPr>
      </w:pPr>
    </w:p>
    <w:p>
      <w:pPr>
        <w:keepNext w:val="0"/>
        <w:keepLines w:val="0"/>
        <w:pageBreakBefore w:val="0"/>
        <w:widowControl w:val="0"/>
        <w:numPr>
          <w:ilvl w:val="0"/>
          <w:numId w:val="0"/>
        </w:numPr>
        <w:kinsoku/>
        <w:wordWrap/>
        <w:overflowPunct/>
        <w:topLinePunct w:val="0"/>
        <w:autoSpaceDE/>
        <w:autoSpaceDN/>
        <w:bidi w:val="0"/>
        <w:adjustRightInd/>
        <w:snapToGrid/>
        <w:ind w:firstLine="560" w:firstLineChars="200"/>
        <w:jc w:val="left"/>
        <w:textAlignment w:val="auto"/>
        <w:outlineLvl w:val="3"/>
        <w:rPr>
          <w:rFonts w:hint="eastAsia" w:ascii="仿宋_GB2312" w:hAnsi="仿宋_GB2312" w:eastAsia="仿宋_GB2312" w:cs="仿宋_GB2312"/>
          <w:b/>
          <w:sz w:val="28"/>
        </w:rPr>
      </w:pPr>
      <w:bookmarkStart w:id="8" w:name="_Toc66069539"/>
      <w:r>
        <w:rPr>
          <w:rFonts w:hint="eastAsia" w:ascii="仿宋_GB2312" w:hAnsi="仿宋_GB2312" w:eastAsia="仿宋_GB2312" w:cs="仿宋_GB2312"/>
          <w:b/>
          <w:sz w:val="28"/>
          <w:lang w:val="en-US" w:eastAsia="zh-CN"/>
        </w:rPr>
        <w:t>2.</w:t>
      </w:r>
      <w:r>
        <w:rPr>
          <w:rFonts w:hint="eastAsia" w:ascii="仿宋_GB2312" w:hAnsi="仿宋_GB2312" w:eastAsia="仿宋_GB2312" w:cs="仿宋_GB2312"/>
          <w:b/>
          <w:sz w:val="28"/>
        </w:rPr>
        <w:t>工经联专项经费绩效目标表</w:t>
      </w:r>
      <w:bookmarkEnd w:id="8"/>
    </w:p>
    <w:tbl>
      <w:tblPr>
        <w:tblStyle w:val="10"/>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5"/>
        <w:gridCol w:w="1677"/>
        <w:gridCol w:w="1886"/>
        <w:gridCol w:w="2343"/>
        <w:gridCol w:w="1925"/>
        <w:gridCol w:w="1909"/>
        <w:gridCol w:w="25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7" w:type="pct"/>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766001</w:t>
            </w:r>
            <w:r>
              <w:rPr>
                <w:rFonts w:hint="eastAsia" w:ascii="方正书宋_GBK" w:eastAsia="方正书宋_GBK"/>
                <w:b/>
              </w:rPr>
              <w:t>隆尧县工业经济联合会秘书处本级</w:t>
            </w:r>
          </w:p>
        </w:tc>
        <w:tc>
          <w:tcPr>
            <w:tcW w:w="902" w:type="pct"/>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1279" w:type="pct"/>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13052521PC14GYR9YKWTX</w:t>
            </w:r>
          </w:p>
        </w:tc>
        <w:tc>
          <w:tcPr>
            <w:tcW w:w="84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2277" w:type="pct"/>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工经联专项经费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602"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677" w:type="pct"/>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2.2</w:t>
            </w:r>
          </w:p>
        </w:tc>
        <w:tc>
          <w:tcPr>
            <w:tcW w:w="84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691" w:type="pct"/>
            <w:shd w:val="clear" w:color="auto" w:fill="auto"/>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2.2</w:t>
            </w:r>
          </w:p>
        </w:tc>
        <w:tc>
          <w:tcPr>
            <w:tcW w:w="683"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902" w:type="pct"/>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vMerge w:val="continue"/>
            <w:shd w:val="clear" w:color="auto" w:fill="auto"/>
            <w:noWrap w:val="0"/>
            <w:vAlign w:val="center"/>
          </w:tcPr>
          <w:p>
            <w:pPr>
              <w:spacing w:line="300" w:lineRule="exact"/>
              <w:jc w:val="left"/>
              <w:outlineLvl w:val="3"/>
            </w:pPr>
          </w:p>
        </w:tc>
        <w:tc>
          <w:tcPr>
            <w:tcW w:w="4398" w:type="pct"/>
            <w:gridSpan w:val="6"/>
            <w:shd w:val="clear" w:color="auto" w:fill="auto"/>
            <w:noWrap w:val="0"/>
            <w:vAlign w:val="center"/>
          </w:tcPr>
          <w:p>
            <w:pPr>
              <w:numPr>
                <w:ilvl w:val="0"/>
                <w:numId w:val="1"/>
              </w:numPr>
              <w:spacing w:line="300" w:lineRule="exact"/>
              <w:jc w:val="left"/>
              <w:rPr>
                <w:rFonts w:ascii="方正书宋_GBK" w:eastAsia="方正书宋_GBK"/>
              </w:rPr>
            </w:pPr>
            <w:r>
              <w:rPr>
                <w:rFonts w:hint="eastAsia" w:ascii="方正书宋_GBK" w:eastAsia="方正书宋_GBK"/>
              </w:rPr>
              <w:t>深入企业开展调研活动</w:t>
            </w:r>
            <w:r>
              <w:rPr>
                <w:rFonts w:hint="eastAsia" w:ascii="方正书宋_GBK" w:eastAsia="方正书宋_GBK"/>
                <w:lang w:eastAsia="zh-CN"/>
              </w:rPr>
              <w:t>；</w:t>
            </w:r>
            <w:r>
              <w:rPr>
                <w:rFonts w:hint="eastAsia" w:ascii="方正书宋_GBK" w:eastAsia="方正书宋_GBK"/>
                <w:lang w:val="en-US" w:eastAsia="zh-CN"/>
              </w:rPr>
              <w:t>2、</w:t>
            </w:r>
            <w:r>
              <w:rPr>
                <w:rFonts w:hint="eastAsia" w:ascii="方正书宋_GBK" w:eastAsia="方正书宋_GBK"/>
              </w:rPr>
              <w:t>开展企业家培训活动</w:t>
            </w:r>
            <w:r>
              <w:rPr>
                <w:rFonts w:hint="eastAsia" w:ascii="方正书宋_GBK" w:eastAsia="方正书宋_GBK"/>
                <w:lang w:eastAsia="zh-CN"/>
              </w:rPr>
              <w:t>；</w:t>
            </w:r>
            <w:r>
              <w:rPr>
                <w:rFonts w:ascii="方正书宋_GBK" w:eastAsia="方正书宋_GBK"/>
              </w:rPr>
              <w:t>3</w:t>
            </w:r>
            <w:r>
              <w:rPr>
                <w:rFonts w:hint="eastAsia" w:ascii="方正书宋_GBK" w:eastAsia="方正书宋_GBK"/>
              </w:rPr>
              <w:t>、组织召开银企对接会</w:t>
            </w:r>
            <w:r>
              <w:rPr>
                <w:rFonts w:hint="eastAsia" w:ascii="方正书宋_GBK" w:eastAsia="方正书宋_GBK"/>
                <w:lang w:eastAsia="zh-CN"/>
              </w:rPr>
              <w:t>；</w:t>
            </w:r>
            <w:r>
              <w:rPr>
                <w:rFonts w:ascii="方正书宋_GBK" w:eastAsia="方正书宋_GBK"/>
              </w:rPr>
              <w:t>4</w:t>
            </w:r>
            <w:r>
              <w:rPr>
                <w:rFonts w:hint="eastAsia" w:ascii="方正书宋_GBK" w:eastAsia="方正书宋_GBK"/>
              </w:rPr>
              <w:t>、组织企业外出观摩学习</w:t>
            </w:r>
            <w:r>
              <w:rPr>
                <w:rFonts w:hint="eastAsia" w:ascii="方正书宋_GBK" w:eastAsia="方正书宋_GBK"/>
                <w:lang w:eastAsia="zh-CN"/>
              </w:rPr>
              <w:t>；</w:t>
            </w:r>
            <w:r>
              <w:rPr>
                <w:rFonts w:ascii="方正书宋_GBK" w:eastAsia="方正书宋_GBK"/>
              </w:rPr>
              <w:t>5</w:t>
            </w:r>
            <w:r>
              <w:rPr>
                <w:rFonts w:hint="eastAsia" w:ascii="方正书宋_GBK" w:eastAsia="方正书宋_GBK"/>
              </w:rPr>
              <w:t>、召开会员代表大会</w:t>
            </w:r>
            <w:r>
              <w:rPr>
                <w:rFonts w:hint="eastAsia" w:ascii="方正书宋_GBK" w:eastAsia="方正书宋_GBK"/>
                <w:lang w:eastAsia="zh-CN"/>
              </w:rPr>
              <w:t>；</w:t>
            </w:r>
            <w:r>
              <w:rPr>
                <w:rFonts w:ascii="方正书宋_GBK" w:eastAsia="方正书宋_GBK"/>
              </w:rPr>
              <w:t>6</w:t>
            </w:r>
            <w:r>
              <w:rPr>
                <w:rFonts w:hint="eastAsia" w:ascii="方正书宋_GBK" w:eastAsia="方正书宋_GBK"/>
              </w:rPr>
              <w:t>、完成县委、县政府交办的其他工作。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279" w:type="pct"/>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841" w:type="pct"/>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691" w:type="pct"/>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1585" w:type="pct"/>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vMerge w:val="continue"/>
            <w:tcBorders>
              <w:bottom w:val="single" w:color="000000" w:sz="6" w:space="0"/>
            </w:tcBorders>
            <w:shd w:val="clear" w:color="auto" w:fill="auto"/>
            <w:noWrap w:val="0"/>
            <w:vAlign w:val="center"/>
          </w:tcPr>
          <w:p>
            <w:pPr>
              <w:spacing w:line="300" w:lineRule="exact"/>
              <w:jc w:val="left"/>
              <w:outlineLvl w:val="3"/>
            </w:pPr>
          </w:p>
        </w:tc>
        <w:tc>
          <w:tcPr>
            <w:tcW w:w="1279" w:type="pct"/>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841" w:type="pct"/>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691" w:type="pct"/>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1585" w:type="pct"/>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1" w:type="pct"/>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4398" w:type="pct"/>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通过深入企业走访调研</w:t>
            </w:r>
            <w:r>
              <w:rPr>
                <w:rFonts w:ascii="方正书宋_GBK" w:eastAsia="方正书宋_GBK"/>
              </w:rPr>
              <w:t>,</w:t>
            </w:r>
            <w:r>
              <w:rPr>
                <w:rFonts w:hint="eastAsia" w:ascii="方正书宋_GBK" w:eastAsia="方正书宋_GBK"/>
              </w:rPr>
              <w:t>了解企业生产经营情况</w:t>
            </w:r>
            <w:r>
              <w:rPr>
                <w:rFonts w:ascii="方正书宋_GBK" w:eastAsia="方正书宋_GBK"/>
              </w:rPr>
              <w:t>,</w:t>
            </w:r>
            <w:r>
              <w:rPr>
                <w:rFonts w:hint="eastAsia" w:ascii="方正书宋_GBK" w:eastAsia="方正书宋_GBK"/>
              </w:rPr>
              <w:t>帮助企业提出对策</w:t>
            </w:r>
            <w:r>
              <w:rPr>
                <w:rFonts w:ascii="方正书宋_GBK" w:eastAsia="方正书宋_GBK"/>
              </w:rPr>
              <w:t>,</w:t>
            </w:r>
            <w:r>
              <w:rPr>
                <w:rFonts w:hint="eastAsia" w:ascii="方正书宋_GBK" w:eastAsia="方正书宋_GBK"/>
              </w:rPr>
              <w:t>协调解决问题。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通过开展企业家培训活动</w:t>
            </w:r>
            <w:r>
              <w:rPr>
                <w:rFonts w:ascii="方正书宋_GBK" w:eastAsia="方正书宋_GBK"/>
              </w:rPr>
              <w:t>,</w:t>
            </w:r>
            <w:r>
              <w:rPr>
                <w:rFonts w:hint="eastAsia" w:ascii="方正书宋_GBK" w:eastAsia="方正书宋_GBK"/>
              </w:rPr>
              <w:t>提升企业家经营管理水平</w:t>
            </w:r>
            <w:r>
              <w:rPr>
                <w:rFonts w:ascii="方正书宋_GBK" w:eastAsia="方正书宋_GBK"/>
              </w:rPr>
              <w:t>,</w:t>
            </w:r>
            <w:r>
              <w:rPr>
                <w:rFonts w:hint="eastAsia" w:ascii="方正书宋_GBK" w:eastAsia="方正书宋_GBK"/>
              </w:rPr>
              <w:t>增强创新发展意识。</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通过开展银企对接会</w:t>
            </w:r>
            <w:r>
              <w:rPr>
                <w:rFonts w:ascii="方正书宋_GBK" w:eastAsia="方正书宋_GBK"/>
              </w:rPr>
              <w:t>,</w:t>
            </w:r>
            <w:r>
              <w:rPr>
                <w:rFonts w:hint="eastAsia" w:ascii="方正书宋_GBK" w:eastAsia="方正书宋_GBK"/>
              </w:rPr>
              <w:t>帮助企业解决融资难问题。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602"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677"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84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691" w:type="pc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585" w:type="pct"/>
            <w:gridSpan w:val="2"/>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602"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677"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企业调研数量</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深入</w:t>
            </w:r>
            <w:r>
              <w:rPr>
                <w:rFonts w:ascii="方正书宋_GBK" w:eastAsia="方正书宋_GBK"/>
              </w:rPr>
              <w:t>10</w:t>
            </w:r>
            <w:r>
              <w:rPr>
                <w:rFonts w:hint="eastAsia" w:ascii="方正书宋_GBK" w:eastAsia="方正书宋_GBK"/>
              </w:rPr>
              <w:t>家以上企业开展走访调研</w:t>
            </w:r>
          </w:p>
        </w:tc>
        <w:tc>
          <w:tcPr>
            <w:tcW w:w="691" w:type="pct"/>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家</w:t>
            </w:r>
          </w:p>
        </w:tc>
        <w:tc>
          <w:tcPr>
            <w:tcW w:w="1585" w:type="pct"/>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走访调研</w:t>
            </w:r>
            <w:r>
              <w:rPr>
                <w:rFonts w:ascii="方正书宋_GBK" w:eastAsia="方正书宋_GBK"/>
              </w:rPr>
              <w:t>10</w:t>
            </w:r>
            <w:r>
              <w:rPr>
                <w:rFonts w:hint="eastAsia" w:ascii="方正书宋_GBK" w:eastAsia="方正书宋_GBK"/>
              </w:rPr>
              <w:t>家以上企业为优；大于等于</w:t>
            </w:r>
            <w:r>
              <w:rPr>
                <w:rFonts w:ascii="方正书宋_GBK" w:eastAsia="方正书宋_GBK"/>
              </w:rPr>
              <w:t>8</w:t>
            </w:r>
            <w:r>
              <w:rPr>
                <w:rFonts w:hint="eastAsia" w:ascii="方正书宋_GBK" w:eastAsia="方正书宋_GBK"/>
              </w:rPr>
              <w:t>家为良；大于等于</w:t>
            </w:r>
            <w:r>
              <w:rPr>
                <w:rFonts w:ascii="方正书宋_GBK" w:eastAsia="方正书宋_GBK"/>
              </w:rPr>
              <w:t>7</w:t>
            </w:r>
            <w:r>
              <w:rPr>
                <w:rFonts w:hint="eastAsia" w:ascii="方正书宋_GBK" w:eastAsia="方正书宋_GBK"/>
              </w:rPr>
              <w:t>家为中；小于</w:t>
            </w:r>
            <w:r>
              <w:rPr>
                <w:rFonts w:ascii="方正书宋_GBK" w:eastAsia="方正书宋_GBK"/>
              </w:rPr>
              <w:t>7</w:t>
            </w:r>
            <w:r>
              <w:rPr>
                <w:rFonts w:hint="eastAsia" w:ascii="方正书宋_GBK" w:eastAsia="方正书宋_GBK"/>
              </w:rPr>
              <w:t>家为差。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vMerge w:val="continue"/>
            <w:shd w:val="clear" w:color="auto" w:fill="auto"/>
            <w:noWrap w:val="0"/>
            <w:vAlign w:val="center"/>
          </w:tcPr>
          <w:p>
            <w:pPr>
              <w:spacing w:line="300" w:lineRule="exact"/>
              <w:jc w:val="center"/>
              <w:rPr>
                <w:rFonts w:hint="eastAsia" w:ascii="方正书宋_GBK" w:eastAsia="方正书宋_GBK"/>
              </w:rPr>
            </w:pP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组织企业培训会数量</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w:t>
            </w:r>
            <w:r>
              <w:rPr>
                <w:rFonts w:ascii="方正书宋_GBK" w:eastAsia="方正书宋_GBK"/>
              </w:rPr>
              <w:t>50</w:t>
            </w:r>
            <w:r>
              <w:rPr>
                <w:rFonts w:hint="eastAsia" w:ascii="方正书宋_GBK" w:eastAsia="方正书宋_GBK"/>
              </w:rPr>
              <w:t>家以上企业开展培训会</w:t>
            </w:r>
          </w:p>
        </w:tc>
        <w:tc>
          <w:tcPr>
            <w:tcW w:w="691" w:type="pct"/>
            <w:shd w:val="clear" w:color="auto" w:fill="auto"/>
            <w:noWrap w:val="0"/>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家</w:t>
            </w:r>
          </w:p>
        </w:tc>
        <w:tc>
          <w:tcPr>
            <w:tcW w:w="1585" w:type="pct"/>
            <w:gridSpan w:val="2"/>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家以上企业参加且反馈良好为优；大于等于</w:t>
            </w:r>
            <w:r>
              <w:rPr>
                <w:rFonts w:ascii="方正书宋_GBK" w:eastAsia="方正书宋_GBK"/>
              </w:rPr>
              <w:t>40</w:t>
            </w:r>
            <w:r>
              <w:rPr>
                <w:rFonts w:hint="eastAsia" w:ascii="方正书宋_GBK" w:eastAsia="方正书宋_GBK"/>
              </w:rPr>
              <w:t>家企业参加为良；反馈不及时为中；反馈较差为差。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vMerge w:val="continue"/>
            <w:shd w:val="clear" w:color="auto" w:fill="auto"/>
            <w:noWrap w:val="0"/>
            <w:vAlign w:val="center"/>
          </w:tcPr>
          <w:p>
            <w:pPr>
              <w:spacing w:line="300" w:lineRule="exact"/>
              <w:jc w:val="center"/>
              <w:rPr>
                <w:rFonts w:hint="eastAsia" w:ascii="方正书宋_GBK" w:eastAsia="方正书宋_GBK"/>
              </w:rPr>
            </w:pP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培训会质量</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企业对培训的满意度</w:t>
            </w:r>
          </w:p>
        </w:tc>
        <w:tc>
          <w:tcPr>
            <w:tcW w:w="69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585" w:type="pct"/>
            <w:gridSpan w:val="2"/>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vMerge w:val="continue"/>
            <w:shd w:val="clear" w:color="auto" w:fill="auto"/>
            <w:noWrap w:val="0"/>
            <w:vAlign w:val="center"/>
          </w:tcPr>
          <w:p>
            <w:pPr>
              <w:spacing w:line="300" w:lineRule="exact"/>
              <w:jc w:val="center"/>
              <w:rPr>
                <w:rFonts w:hint="eastAsia" w:ascii="方正书宋_GBK" w:eastAsia="方正书宋_GBK"/>
              </w:rPr>
            </w:pP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工作按时完成率</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691"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585" w:type="pct"/>
            <w:gridSpan w:val="2"/>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vMerge w:val="continue"/>
            <w:shd w:val="clear" w:color="auto" w:fill="auto"/>
            <w:noWrap w:val="0"/>
            <w:vAlign w:val="center"/>
          </w:tcPr>
          <w:p>
            <w:pPr>
              <w:spacing w:line="300" w:lineRule="exact"/>
              <w:jc w:val="center"/>
              <w:rPr>
                <w:rFonts w:hint="eastAsia" w:ascii="方正书宋_GBK" w:eastAsia="方正书宋_GBK"/>
              </w:rPr>
            </w:pP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工经联专项经费成本</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工经联专项经费成本共</w:t>
            </w:r>
            <w:r>
              <w:rPr>
                <w:rFonts w:hint="eastAsia" w:ascii="方正书宋_GBK" w:eastAsia="方正书宋_GBK"/>
                <w:lang w:val="en-US" w:eastAsia="zh-CN"/>
              </w:rPr>
              <w:t>2.2万</w:t>
            </w:r>
            <w:r>
              <w:rPr>
                <w:rFonts w:hint="eastAsia" w:ascii="方正书宋_GBK" w:eastAsia="方正书宋_GBK"/>
              </w:rPr>
              <w:t>元</w:t>
            </w:r>
          </w:p>
        </w:tc>
        <w:tc>
          <w:tcPr>
            <w:tcW w:w="691"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2.2万</w:t>
            </w:r>
            <w:r>
              <w:rPr>
                <w:rFonts w:hint="eastAsia" w:ascii="方正书宋_GBK" w:eastAsia="方正书宋_GBK"/>
              </w:rPr>
              <w:t>元</w:t>
            </w:r>
          </w:p>
        </w:tc>
        <w:tc>
          <w:tcPr>
            <w:tcW w:w="1585" w:type="pct"/>
            <w:gridSpan w:val="2"/>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企业融资率</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召开</w:t>
            </w:r>
            <w:r>
              <w:rPr>
                <w:rFonts w:ascii="方正书宋_GBK" w:eastAsia="方正书宋_GBK"/>
              </w:rPr>
              <w:t>2</w:t>
            </w:r>
            <w:r>
              <w:rPr>
                <w:rFonts w:hint="eastAsia" w:ascii="方正书宋_GBK" w:eastAsia="方正书宋_GBK"/>
              </w:rPr>
              <w:t>次银企对接会，力争为</w:t>
            </w:r>
            <w:r>
              <w:rPr>
                <w:rFonts w:ascii="方正书宋_GBK" w:eastAsia="方正书宋_GBK"/>
              </w:rPr>
              <w:t>3</w:t>
            </w:r>
            <w:r>
              <w:rPr>
                <w:rFonts w:hint="eastAsia" w:ascii="方正书宋_GBK" w:eastAsia="方正书宋_GBK"/>
              </w:rPr>
              <w:t>家以上企业融资成功。</w:t>
            </w:r>
          </w:p>
        </w:tc>
        <w:tc>
          <w:tcPr>
            <w:tcW w:w="69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585" w:type="pct"/>
            <w:gridSpan w:val="2"/>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召开</w:t>
            </w:r>
            <w:r>
              <w:rPr>
                <w:rFonts w:ascii="方正书宋_GBK" w:eastAsia="方正书宋_GBK"/>
              </w:rPr>
              <w:t>2</w:t>
            </w:r>
            <w:r>
              <w:rPr>
                <w:rFonts w:hint="eastAsia" w:ascii="方正书宋_GBK" w:eastAsia="方正书宋_GBK"/>
              </w:rPr>
              <w:t>次银企对接会，为</w:t>
            </w:r>
            <w:r>
              <w:rPr>
                <w:rFonts w:ascii="方正书宋_GBK" w:eastAsia="方正书宋_GBK"/>
              </w:rPr>
              <w:t>3</w:t>
            </w:r>
            <w:r>
              <w:rPr>
                <w:rFonts w:hint="eastAsia" w:ascii="方正书宋_GBK" w:eastAsia="方正书宋_GBK"/>
              </w:rPr>
              <w:t>家以上企业融资成功为优；召开</w:t>
            </w:r>
            <w:r>
              <w:rPr>
                <w:rFonts w:ascii="方正书宋_GBK" w:eastAsia="方正书宋_GBK"/>
              </w:rPr>
              <w:t>2</w:t>
            </w:r>
            <w:r>
              <w:rPr>
                <w:rFonts w:hint="eastAsia" w:ascii="方正书宋_GBK" w:eastAsia="方正书宋_GBK"/>
              </w:rPr>
              <w:t>次对接会，大于等于</w:t>
            </w:r>
            <w:r>
              <w:rPr>
                <w:rFonts w:ascii="方正书宋_GBK" w:eastAsia="方正书宋_GBK"/>
              </w:rPr>
              <w:t>2</w:t>
            </w:r>
            <w:r>
              <w:rPr>
                <w:rFonts w:hint="eastAsia" w:ascii="方正书宋_GBK" w:eastAsia="方正书宋_GBK"/>
              </w:rPr>
              <w:t>家企业融资成功为良；召开</w:t>
            </w:r>
            <w:r>
              <w:rPr>
                <w:rFonts w:ascii="方正书宋_GBK" w:eastAsia="方正书宋_GBK"/>
              </w:rPr>
              <w:t>1</w:t>
            </w:r>
            <w:r>
              <w:rPr>
                <w:rFonts w:hint="eastAsia" w:ascii="方正书宋_GBK" w:eastAsia="方正书宋_GBK"/>
              </w:rPr>
              <w:t>次对接会为</w:t>
            </w:r>
            <w:r>
              <w:rPr>
                <w:rFonts w:ascii="方正书宋_GBK" w:eastAsia="方正书宋_GBK"/>
              </w:rPr>
              <w:t>1</w:t>
            </w:r>
            <w:r>
              <w:rPr>
                <w:rFonts w:hint="eastAsia" w:ascii="方正书宋_GBK" w:eastAsia="方正书宋_GBK"/>
              </w:rPr>
              <w:t>家企业融资成功为中；没有融资成功为差。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1" w:type="pc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602"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677"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企业满意度</w:t>
            </w:r>
          </w:p>
        </w:tc>
        <w:tc>
          <w:tcPr>
            <w:tcW w:w="841" w:type="pct"/>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企业是否满意</w:t>
            </w:r>
          </w:p>
        </w:tc>
        <w:tc>
          <w:tcPr>
            <w:tcW w:w="691" w:type="pc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585" w:type="pct"/>
            <w:gridSpan w:val="2"/>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left"/>
        <w:textAlignment w:val="auto"/>
        <w:outlineLvl w:val="3"/>
        <w:rPr>
          <w:rFonts w:hint="eastAsia" w:ascii="仿宋_GB2312" w:hAnsi="仿宋_GB2312" w:eastAsia="仿宋_GB2312" w:cs="仿宋_GB2312"/>
          <w:b/>
          <w:sz w:val="28"/>
        </w:rPr>
      </w:pPr>
      <w:r>
        <w:rPr>
          <w:rFonts w:hint="eastAsia" w:ascii="仿宋_GB2312" w:hAnsi="仿宋_GB2312" w:eastAsia="仿宋_GB2312" w:cs="仿宋_GB2312"/>
          <w:b/>
          <w:sz w:val="28"/>
        </w:rPr>
        <w:fldChar w:fldCharType="begin"/>
      </w:r>
      <w:r>
        <w:rPr>
          <w:rFonts w:hint="eastAsia" w:ascii="仿宋_GB2312" w:hAnsi="仿宋_GB2312" w:eastAsia="仿宋_GB2312" w:cs="仿宋_GB2312"/>
          <w:b/>
          <w:sz w:val="28"/>
        </w:rPr>
        <w:instrText xml:space="preserve"> TC 2、工经联专项经费绩效目标表 \f C \l 1 </w:instrText>
      </w:r>
      <w:r>
        <w:rPr>
          <w:rFonts w:hint="eastAsia" w:ascii="仿宋_GB2312" w:hAnsi="仿宋_GB2312" w:eastAsia="仿宋_GB2312" w:cs="仿宋_GB2312"/>
          <w:b/>
          <w:sz w:val="28"/>
        </w:rPr>
        <w:fldChar w:fldCharType="end"/>
      </w: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仿宋_GB2312" w:hAnsi="Times New Roman" w:eastAsia="仿宋_GB2312"/>
          <w:sz w:val="32"/>
          <w:szCs w:val="24"/>
        </w:rPr>
      </w:pPr>
      <w:bookmarkStart w:id="9" w:name="_Toc471398468"/>
      <w:r>
        <w:rPr>
          <w:rFonts w:hint="eastAsia" w:ascii="仿宋_GB2312" w:hAnsi="Times New Roman" w:eastAsia="仿宋_GB2312"/>
          <w:sz w:val="32"/>
          <w:szCs w:val="24"/>
        </w:rPr>
        <w:t>2021年，我单位安排政府采购预算2.42万元。具体内容见下表。</w:t>
      </w:r>
      <w:bookmarkStart w:id="10" w:name="_Toc64379203"/>
    </w:p>
    <w:p>
      <w:pPr>
        <w:widowControl/>
        <w:jc w:val="center"/>
        <w:rPr>
          <w:rFonts w:hint="eastAsia"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部门政府采购预算</w:t>
      </w:r>
      <w:bookmarkEnd w:id="10"/>
    </w:p>
    <w:tbl>
      <w:tblPr>
        <w:tblStyle w:val="10"/>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738"/>
        <w:gridCol w:w="1150"/>
        <w:gridCol w:w="1549"/>
        <w:gridCol w:w="1329"/>
        <w:gridCol w:w="741"/>
        <w:gridCol w:w="758"/>
        <w:gridCol w:w="819"/>
        <w:gridCol w:w="878"/>
        <w:gridCol w:w="1062"/>
        <w:gridCol w:w="800"/>
        <w:gridCol w:w="1151"/>
        <w:gridCol w:w="1073"/>
        <w:gridCol w:w="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902" w:type="pct"/>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hint="eastAsia" w:ascii="仿宋_GB2312" w:hAnsi="仿宋_GB2312" w:eastAsia="仿宋_GB2312" w:cs="仿宋_GB2312"/>
                <w:sz w:val="24"/>
              </w:rPr>
            </w:pPr>
            <w:r>
              <w:rPr>
                <w:rFonts w:hint="eastAsia" w:ascii="仿宋_GB2312" w:hAnsi="仿宋_GB2312" w:eastAsia="仿宋_GB2312" w:cs="仿宋_GB2312"/>
                <w:sz w:val="24"/>
              </w:rPr>
              <w:t>766隆尧县工业经济联合会秘书处</w:t>
            </w:r>
          </w:p>
        </w:tc>
        <w:tc>
          <w:tcPr>
            <w:tcW w:w="2097" w:type="pct"/>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hint="eastAsia" w:ascii="仿宋_GB2312" w:hAnsi="仿宋_GB2312" w:eastAsia="仿宋_GB2312" w:cs="仿宋_GB2312"/>
                <w:sz w:val="24"/>
              </w:rPr>
            </w:pPr>
            <w:r>
              <w:rPr>
                <w:rFonts w:hint="eastAsia" w:ascii="仿宋_GB2312" w:hAnsi="仿宋_GB2312" w:eastAsia="仿宋_GB2312" w:cs="仿宋_GB2312"/>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37" w:type="pct"/>
            <w:gridSpan w:val="2"/>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政府采购项目来源</w:t>
            </w:r>
          </w:p>
        </w:tc>
        <w:tc>
          <w:tcPr>
            <w:tcW w:w="556" w:type="pct"/>
            <w:vMerge w:val="restar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采购物品名称</w:t>
            </w:r>
          </w:p>
        </w:tc>
        <w:tc>
          <w:tcPr>
            <w:tcW w:w="477" w:type="pct"/>
            <w:vMerge w:val="restar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政府采购目录序号</w:t>
            </w:r>
          </w:p>
        </w:tc>
        <w:tc>
          <w:tcPr>
            <w:tcW w:w="266" w:type="pct"/>
            <w:vMerge w:val="restar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计量  单位</w:t>
            </w:r>
          </w:p>
        </w:tc>
        <w:tc>
          <w:tcPr>
            <w:tcW w:w="272" w:type="pct"/>
            <w:vMerge w:val="restar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数量</w:t>
            </w:r>
          </w:p>
        </w:tc>
        <w:tc>
          <w:tcPr>
            <w:tcW w:w="292" w:type="pct"/>
            <w:vMerge w:val="restar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单价</w:t>
            </w:r>
          </w:p>
        </w:tc>
        <w:tc>
          <w:tcPr>
            <w:tcW w:w="2097" w:type="pct"/>
            <w:gridSpan w:val="6"/>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24"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项目名称</w:t>
            </w:r>
          </w:p>
        </w:tc>
        <w:tc>
          <w:tcPr>
            <w:tcW w:w="413"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预算资金</w:t>
            </w:r>
          </w:p>
        </w:tc>
        <w:tc>
          <w:tcPr>
            <w:tcW w:w="556" w:type="pct"/>
            <w:vMerge w:val="continue"/>
            <w:shd w:val="clear" w:color="auto" w:fill="auto"/>
            <w:vAlign w:val="center"/>
          </w:tcPr>
          <w:p>
            <w:pPr>
              <w:spacing w:line="300" w:lineRule="exact"/>
              <w:jc w:val="left"/>
              <w:outlineLvl w:val="1"/>
              <w:rPr>
                <w:rFonts w:hint="eastAsia" w:ascii="仿宋_GB2312" w:hAnsi="仿宋_GB2312" w:eastAsia="仿宋_GB2312" w:cs="仿宋_GB2312"/>
                <w:sz w:val="28"/>
              </w:rPr>
            </w:pPr>
          </w:p>
        </w:tc>
        <w:tc>
          <w:tcPr>
            <w:tcW w:w="477" w:type="pct"/>
            <w:vMerge w:val="continue"/>
            <w:shd w:val="clear" w:color="auto" w:fill="auto"/>
            <w:vAlign w:val="center"/>
          </w:tcPr>
          <w:p>
            <w:pPr>
              <w:spacing w:line="300" w:lineRule="exact"/>
              <w:jc w:val="left"/>
              <w:outlineLvl w:val="1"/>
              <w:rPr>
                <w:rFonts w:hint="eastAsia" w:ascii="仿宋_GB2312" w:hAnsi="仿宋_GB2312" w:eastAsia="仿宋_GB2312" w:cs="仿宋_GB2312"/>
                <w:sz w:val="28"/>
              </w:rPr>
            </w:pPr>
          </w:p>
        </w:tc>
        <w:tc>
          <w:tcPr>
            <w:tcW w:w="266" w:type="pct"/>
            <w:vMerge w:val="continue"/>
            <w:shd w:val="clear" w:color="auto" w:fill="auto"/>
            <w:vAlign w:val="center"/>
          </w:tcPr>
          <w:p>
            <w:pPr>
              <w:spacing w:line="300" w:lineRule="exact"/>
              <w:jc w:val="left"/>
              <w:outlineLvl w:val="1"/>
              <w:rPr>
                <w:rFonts w:hint="eastAsia" w:ascii="仿宋_GB2312" w:hAnsi="仿宋_GB2312" w:eastAsia="仿宋_GB2312" w:cs="仿宋_GB2312"/>
                <w:sz w:val="28"/>
              </w:rPr>
            </w:pPr>
          </w:p>
        </w:tc>
        <w:tc>
          <w:tcPr>
            <w:tcW w:w="272" w:type="pct"/>
            <w:vMerge w:val="continue"/>
            <w:shd w:val="clear" w:color="auto" w:fill="auto"/>
            <w:vAlign w:val="center"/>
          </w:tcPr>
          <w:p>
            <w:pPr>
              <w:spacing w:line="300" w:lineRule="exact"/>
              <w:jc w:val="left"/>
              <w:outlineLvl w:val="1"/>
              <w:rPr>
                <w:rFonts w:hint="eastAsia" w:ascii="仿宋_GB2312" w:hAnsi="仿宋_GB2312" w:eastAsia="仿宋_GB2312" w:cs="仿宋_GB2312"/>
                <w:sz w:val="28"/>
              </w:rPr>
            </w:pPr>
          </w:p>
        </w:tc>
        <w:tc>
          <w:tcPr>
            <w:tcW w:w="292" w:type="pct"/>
            <w:vMerge w:val="continue"/>
            <w:shd w:val="clear" w:color="auto" w:fill="auto"/>
            <w:vAlign w:val="center"/>
          </w:tcPr>
          <w:p>
            <w:pPr>
              <w:spacing w:line="300" w:lineRule="exact"/>
              <w:jc w:val="left"/>
              <w:outlineLvl w:val="1"/>
              <w:rPr>
                <w:rFonts w:hint="eastAsia" w:ascii="仿宋_GB2312" w:hAnsi="仿宋_GB2312" w:eastAsia="仿宋_GB2312" w:cs="仿宋_GB2312"/>
                <w:sz w:val="28"/>
              </w:rPr>
            </w:pPr>
          </w:p>
        </w:tc>
        <w:tc>
          <w:tcPr>
            <w:tcW w:w="315"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合计</w:t>
            </w:r>
          </w:p>
        </w:tc>
        <w:tc>
          <w:tcPr>
            <w:tcW w:w="381"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一般公共预算拨款</w:t>
            </w:r>
          </w:p>
        </w:tc>
        <w:tc>
          <w:tcPr>
            <w:tcW w:w="287"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基金预算拨款</w:t>
            </w:r>
          </w:p>
        </w:tc>
        <w:tc>
          <w:tcPr>
            <w:tcW w:w="413"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国有资本经营预算拨款</w:t>
            </w:r>
          </w:p>
        </w:tc>
        <w:tc>
          <w:tcPr>
            <w:tcW w:w="385"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财政专户核拨</w:t>
            </w:r>
          </w:p>
        </w:tc>
        <w:tc>
          <w:tcPr>
            <w:tcW w:w="315"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24"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合  计</w:t>
            </w:r>
          </w:p>
        </w:tc>
        <w:tc>
          <w:tcPr>
            <w:tcW w:w="413" w:type="pct"/>
            <w:shd w:val="clear" w:color="auto" w:fill="auto"/>
            <w:vAlign w:val="center"/>
          </w:tcPr>
          <w:p>
            <w:pPr>
              <w:spacing w:line="300" w:lineRule="exact"/>
              <w:jc w:val="right"/>
              <w:rPr>
                <w:rFonts w:hint="eastAsia" w:ascii="仿宋_GB2312" w:hAnsi="仿宋_GB2312" w:eastAsia="仿宋_GB2312" w:cs="仿宋_GB2312"/>
                <w:b/>
              </w:rPr>
            </w:pPr>
          </w:p>
        </w:tc>
        <w:tc>
          <w:tcPr>
            <w:tcW w:w="556" w:type="pct"/>
            <w:shd w:val="clear" w:color="auto" w:fill="auto"/>
            <w:vAlign w:val="center"/>
          </w:tcPr>
          <w:p>
            <w:pPr>
              <w:spacing w:line="300" w:lineRule="exact"/>
              <w:jc w:val="left"/>
              <w:rPr>
                <w:rFonts w:hint="eastAsia" w:ascii="仿宋_GB2312" w:hAnsi="仿宋_GB2312" w:eastAsia="仿宋_GB2312" w:cs="仿宋_GB2312"/>
                <w:b/>
              </w:rPr>
            </w:pPr>
          </w:p>
        </w:tc>
        <w:tc>
          <w:tcPr>
            <w:tcW w:w="477" w:type="pct"/>
            <w:shd w:val="clear" w:color="auto" w:fill="auto"/>
            <w:vAlign w:val="center"/>
          </w:tcPr>
          <w:p>
            <w:pPr>
              <w:spacing w:line="300" w:lineRule="exact"/>
              <w:jc w:val="left"/>
              <w:rPr>
                <w:rFonts w:hint="eastAsia" w:ascii="仿宋_GB2312" w:hAnsi="仿宋_GB2312" w:eastAsia="仿宋_GB2312" w:cs="仿宋_GB2312"/>
                <w:b/>
              </w:rPr>
            </w:pPr>
          </w:p>
        </w:tc>
        <w:tc>
          <w:tcPr>
            <w:tcW w:w="266" w:type="pct"/>
            <w:shd w:val="clear" w:color="auto" w:fill="auto"/>
            <w:vAlign w:val="center"/>
          </w:tcPr>
          <w:p>
            <w:pPr>
              <w:spacing w:line="300" w:lineRule="exact"/>
              <w:jc w:val="center"/>
              <w:rPr>
                <w:rFonts w:hint="eastAsia" w:ascii="仿宋_GB2312" w:hAnsi="仿宋_GB2312" w:eastAsia="仿宋_GB2312" w:cs="仿宋_GB2312"/>
                <w:b/>
              </w:rPr>
            </w:pPr>
          </w:p>
        </w:tc>
        <w:tc>
          <w:tcPr>
            <w:tcW w:w="272" w:type="pct"/>
            <w:shd w:val="clear" w:color="auto" w:fill="auto"/>
            <w:vAlign w:val="center"/>
          </w:tcPr>
          <w:p>
            <w:pPr>
              <w:spacing w:line="300" w:lineRule="exact"/>
              <w:jc w:val="right"/>
              <w:rPr>
                <w:rFonts w:hint="eastAsia" w:ascii="仿宋_GB2312" w:hAnsi="仿宋_GB2312" w:eastAsia="仿宋_GB2312" w:cs="仿宋_GB2312"/>
                <w:b/>
              </w:rPr>
            </w:pPr>
          </w:p>
        </w:tc>
        <w:tc>
          <w:tcPr>
            <w:tcW w:w="292" w:type="pct"/>
            <w:shd w:val="clear" w:color="auto" w:fill="auto"/>
            <w:vAlign w:val="center"/>
          </w:tcPr>
          <w:p>
            <w:pPr>
              <w:spacing w:line="300" w:lineRule="exact"/>
              <w:jc w:val="right"/>
              <w:rPr>
                <w:rFonts w:hint="eastAsia" w:ascii="仿宋_GB2312" w:hAnsi="仿宋_GB2312" w:eastAsia="仿宋_GB2312" w:cs="仿宋_GB2312"/>
                <w:b/>
              </w:rPr>
            </w:pPr>
          </w:p>
        </w:tc>
        <w:tc>
          <w:tcPr>
            <w:tcW w:w="315" w:type="pct"/>
            <w:shd w:val="clear" w:color="auto" w:fill="auto"/>
            <w:vAlign w:val="center"/>
          </w:tcPr>
          <w:p>
            <w:pPr>
              <w:spacing w:line="300" w:lineRule="exact"/>
              <w:jc w:val="right"/>
              <w:rPr>
                <w:rFonts w:hint="eastAsia" w:ascii="仿宋_GB2312" w:hAnsi="仿宋_GB2312" w:eastAsia="仿宋_GB2312" w:cs="仿宋_GB2312"/>
                <w:b/>
              </w:rPr>
            </w:pPr>
            <w:r>
              <w:rPr>
                <w:rFonts w:hint="eastAsia" w:ascii="仿宋_GB2312" w:hAnsi="仿宋_GB2312" w:eastAsia="仿宋_GB2312" w:cs="仿宋_GB2312"/>
                <w:b/>
              </w:rPr>
              <w:t>2.42</w:t>
            </w:r>
          </w:p>
        </w:tc>
        <w:tc>
          <w:tcPr>
            <w:tcW w:w="381" w:type="pct"/>
            <w:shd w:val="clear" w:color="auto" w:fill="auto"/>
            <w:vAlign w:val="center"/>
          </w:tcPr>
          <w:p>
            <w:pPr>
              <w:spacing w:line="300" w:lineRule="exact"/>
              <w:jc w:val="right"/>
              <w:rPr>
                <w:rFonts w:hint="eastAsia" w:ascii="仿宋_GB2312" w:hAnsi="仿宋_GB2312" w:eastAsia="仿宋_GB2312" w:cs="仿宋_GB2312"/>
                <w:b/>
              </w:rPr>
            </w:pPr>
            <w:r>
              <w:rPr>
                <w:rFonts w:hint="eastAsia" w:ascii="仿宋_GB2312" w:hAnsi="仿宋_GB2312" w:eastAsia="仿宋_GB2312" w:cs="仿宋_GB2312"/>
                <w:b/>
              </w:rPr>
              <w:t>2.42</w:t>
            </w:r>
          </w:p>
        </w:tc>
        <w:tc>
          <w:tcPr>
            <w:tcW w:w="287" w:type="pct"/>
            <w:shd w:val="clear" w:color="auto" w:fill="auto"/>
            <w:vAlign w:val="center"/>
          </w:tcPr>
          <w:p>
            <w:pPr>
              <w:spacing w:line="300" w:lineRule="exact"/>
              <w:jc w:val="right"/>
              <w:rPr>
                <w:rFonts w:hint="eastAsia" w:ascii="仿宋_GB2312" w:hAnsi="仿宋_GB2312" w:eastAsia="仿宋_GB2312" w:cs="仿宋_GB2312"/>
                <w:b/>
              </w:rPr>
            </w:pPr>
          </w:p>
        </w:tc>
        <w:tc>
          <w:tcPr>
            <w:tcW w:w="413" w:type="pct"/>
            <w:shd w:val="clear" w:color="auto" w:fill="auto"/>
            <w:vAlign w:val="center"/>
          </w:tcPr>
          <w:p>
            <w:pPr>
              <w:spacing w:line="300" w:lineRule="exact"/>
              <w:jc w:val="right"/>
              <w:rPr>
                <w:rFonts w:hint="eastAsia" w:ascii="仿宋_GB2312" w:hAnsi="仿宋_GB2312" w:eastAsia="仿宋_GB2312" w:cs="仿宋_GB2312"/>
                <w:b/>
              </w:rPr>
            </w:pPr>
          </w:p>
        </w:tc>
        <w:tc>
          <w:tcPr>
            <w:tcW w:w="385" w:type="pct"/>
            <w:shd w:val="clear" w:color="auto" w:fill="auto"/>
            <w:vAlign w:val="center"/>
          </w:tcPr>
          <w:p>
            <w:pPr>
              <w:spacing w:line="300" w:lineRule="exact"/>
              <w:jc w:val="right"/>
              <w:rPr>
                <w:rFonts w:hint="eastAsia" w:ascii="仿宋_GB2312" w:hAnsi="仿宋_GB2312" w:eastAsia="仿宋_GB2312" w:cs="仿宋_GB2312"/>
                <w:b/>
              </w:rPr>
            </w:pPr>
          </w:p>
        </w:tc>
        <w:tc>
          <w:tcPr>
            <w:tcW w:w="315" w:type="pct"/>
            <w:shd w:val="clear" w:color="auto" w:fill="auto"/>
            <w:vAlign w:val="center"/>
          </w:tcPr>
          <w:p>
            <w:pPr>
              <w:spacing w:line="300" w:lineRule="exact"/>
              <w:jc w:val="right"/>
              <w:rPr>
                <w:rFonts w:hint="eastAsia" w:ascii="仿宋_GB2312" w:hAnsi="仿宋_GB2312" w:eastAsia="仿宋_GB2312" w:cs="仿宋_GB2312"/>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24" w:type="pct"/>
            <w:shd w:val="clear" w:color="auto" w:fill="auto"/>
            <w:vAlign w:val="center"/>
          </w:tcPr>
          <w:p>
            <w:pPr>
              <w:spacing w:line="300" w:lineRule="exact"/>
              <w:jc w:val="center"/>
              <w:rPr>
                <w:rFonts w:hint="eastAsia" w:ascii="仿宋_GB2312" w:hAnsi="仿宋_GB2312" w:eastAsia="仿宋_GB2312" w:cs="仿宋_GB2312"/>
                <w:b/>
              </w:rPr>
            </w:pPr>
            <w:r>
              <w:rPr>
                <w:rFonts w:hint="eastAsia" w:ascii="仿宋_GB2312" w:hAnsi="仿宋_GB2312" w:eastAsia="仿宋_GB2312" w:cs="仿宋_GB2312"/>
                <w:b/>
              </w:rPr>
              <w:t>隆尧县工业经济联合会秘书处本级小计</w:t>
            </w:r>
          </w:p>
        </w:tc>
        <w:tc>
          <w:tcPr>
            <w:tcW w:w="413" w:type="pct"/>
            <w:shd w:val="clear" w:color="auto" w:fill="auto"/>
            <w:vAlign w:val="center"/>
          </w:tcPr>
          <w:p>
            <w:pPr>
              <w:spacing w:line="300" w:lineRule="exact"/>
              <w:jc w:val="right"/>
              <w:rPr>
                <w:rFonts w:hint="eastAsia" w:ascii="仿宋_GB2312" w:hAnsi="仿宋_GB2312" w:eastAsia="仿宋_GB2312" w:cs="仿宋_GB2312"/>
                <w:b/>
              </w:rPr>
            </w:pPr>
          </w:p>
        </w:tc>
        <w:tc>
          <w:tcPr>
            <w:tcW w:w="556" w:type="pct"/>
            <w:shd w:val="clear" w:color="auto" w:fill="auto"/>
            <w:vAlign w:val="center"/>
          </w:tcPr>
          <w:p>
            <w:pPr>
              <w:spacing w:line="300" w:lineRule="exact"/>
              <w:jc w:val="left"/>
              <w:rPr>
                <w:rFonts w:hint="eastAsia" w:ascii="仿宋_GB2312" w:hAnsi="仿宋_GB2312" w:eastAsia="仿宋_GB2312" w:cs="仿宋_GB2312"/>
                <w:b/>
              </w:rPr>
            </w:pPr>
          </w:p>
        </w:tc>
        <w:tc>
          <w:tcPr>
            <w:tcW w:w="477" w:type="pct"/>
            <w:shd w:val="clear" w:color="auto" w:fill="auto"/>
            <w:vAlign w:val="center"/>
          </w:tcPr>
          <w:p>
            <w:pPr>
              <w:spacing w:line="300" w:lineRule="exact"/>
              <w:jc w:val="left"/>
              <w:rPr>
                <w:rFonts w:hint="eastAsia" w:ascii="仿宋_GB2312" w:hAnsi="仿宋_GB2312" w:eastAsia="仿宋_GB2312" w:cs="仿宋_GB2312"/>
                <w:b/>
              </w:rPr>
            </w:pPr>
          </w:p>
        </w:tc>
        <w:tc>
          <w:tcPr>
            <w:tcW w:w="266" w:type="pct"/>
            <w:shd w:val="clear" w:color="auto" w:fill="auto"/>
            <w:vAlign w:val="center"/>
          </w:tcPr>
          <w:p>
            <w:pPr>
              <w:spacing w:line="300" w:lineRule="exact"/>
              <w:jc w:val="center"/>
              <w:rPr>
                <w:rFonts w:hint="eastAsia" w:ascii="仿宋_GB2312" w:hAnsi="仿宋_GB2312" w:eastAsia="仿宋_GB2312" w:cs="仿宋_GB2312"/>
                <w:b/>
              </w:rPr>
            </w:pPr>
          </w:p>
        </w:tc>
        <w:tc>
          <w:tcPr>
            <w:tcW w:w="272" w:type="pct"/>
            <w:shd w:val="clear" w:color="auto" w:fill="auto"/>
            <w:vAlign w:val="center"/>
          </w:tcPr>
          <w:p>
            <w:pPr>
              <w:spacing w:line="300" w:lineRule="exact"/>
              <w:jc w:val="right"/>
              <w:rPr>
                <w:rFonts w:hint="eastAsia" w:ascii="仿宋_GB2312" w:hAnsi="仿宋_GB2312" w:eastAsia="仿宋_GB2312" w:cs="仿宋_GB2312"/>
                <w:b/>
              </w:rPr>
            </w:pPr>
          </w:p>
        </w:tc>
        <w:tc>
          <w:tcPr>
            <w:tcW w:w="292" w:type="pct"/>
            <w:shd w:val="clear" w:color="auto" w:fill="auto"/>
            <w:vAlign w:val="center"/>
          </w:tcPr>
          <w:p>
            <w:pPr>
              <w:spacing w:line="300" w:lineRule="exact"/>
              <w:jc w:val="right"/>
              <w:rPr>
                <w:rFonts w:hint="eastAsia" w:ascii="仿宋_GB2312" w:hAnsi="仿宋_GB2312" w:eastAsia="仿宋_GB2312" w:cs="仿宋_GB2312"/>
                <w:b/>
              </w:rPr>
            </w:pPr>
          </w:p>
        </w:tc>
        <w:tc>
          <w:tcPr>
            <w:tcW w:w="315" w:type="pct"/>
            <w:shd w:val="clear" w:color="auto" w:fill="auto"/>
            <w:vAlign w:val="center"/>
          </w:tcPr>
          <w:p>
            <w:pPr>
              <w:spacing w:line="300" w:lineRule="exact"/>
              <w:jc w:val="right"/>
              <w:rPr>
                <w:rFonts w:hint="eastAsia" w:ascii="仿宋_GB2312" w:hAnsi="仿宋_GB2312" w:eastAsia="仿宋_GB2312" w:cs="仿宋_GB2312"/>
                <w:b/>
              </w:rPr>
            </w:pPr>
            <w:r>
              <w:rPr>
                <w:rFonts w:hint="eastAsia" w:ascii="仿宋_GB2312" w:hAnsi="仿宋_GB2312" w:eastAsia="仿宋_GB2312" w:cs="仿宋_GB2312"/>
                <w:b/>
              </w:rPr>
              <w:t>2.42</w:t>
            </w:r>
          </w:p>
        </w:tc>
        <w:tc>
          <w:tcPr>
            <w:tcW w:w="381" w:type="pct"/>
            <w:shd w:val="clear" w:color="auto" w:fill="auto"/>
            <w:vAlign w:val="center"/>
          </w:tcPr>
          <w:p>
            <w:pPr>
              <w:spacing w:line="300" w:lineRule="exact"/>
              <w:jc w:val="right"/>
              <w:rPr>
                <w:rFonts w:hint="eastAsia" w:ascii="仿宋_GB2312" w:hAnsi="仿宋_GB2312" w:eastAsia="仿宋_GB2312" w:cs="仿宋_GB2312"/>
                <w:b/>
              </w:rPr>
            </w:pPr>
            <w:r>
              <w:rPr>
                <w:rFonts w:hint="eastAsia" w:ascii="仿宋_GB2312" w:hAnsi="仿宋_GB2312" w:eastAsia="仿宋_GB2312" w:cs="仿宋_GB2312"/>
                <w:b/>
              </w:rPr>
              <w:t>2.42</w:t>
            </w:r>
          </w:p>
        </w:tc>
        <w:tc>
          <w:tcPr>
            <w:tcW w:w="287" w:type="pct"/>
            <w:shd w:val="clear" w:color="auto" w:fill="auto"/>
            <w:vAlign w:val="center"/>
          </w:tcPr>
          <w:p>
            <w:pPr>
              <w:spacing w:line="300" w:lineRule="exact"/>
              <w:jc w:val="right"/>
              <w:rPr>
                <w:rFonts w:hint="eastAsia" w:ascii="仿宋_GB2312" w:hAnsi="仿宋_GB2312" w:eastAsia="仿宋_GB2312" w:cs="仿宋_GB2312"/>
                <w:b/>
              </w:rPr>
            </w:pPr>
          </w:p>
        </w:tc>
        <w:tc>
          <w:tcPr>
            <w:tcW w:w="413" w:type="pct"/>
            <w:shd w:val="clear" w:color="auto" w:fill="auto"/>
            <w:vAlign w:val="center"/>
          </w:tcPr>
          <w:p>
            <w:pPr>
              <w:spacing w:line="300" w:lineRule="exact"/>
              <w:jc w:val="right"/>
              <w:rPr>
                <w:rFonts w:hint="eastAsia" w:ascii="仿宋_GB2312" w:hAnsi="仿宋_GB2312" w:eastAsia="仿宋_GB2312" w:cs="仿宋_GB2312"/>
                <w:b/>
              </w:rPr>
            </w:pPr>
          </w:p>
        </w:tc>
        <w:tc>
          <w:tcPr>
            <w:tcW w:w="385" w:type="pct"/>
            <w:shd w:val="clear" w:color="auto" w:fill="auto"/>
            <w:vAlign w:val="center"/>
          </w:tcPr>
          <w:p>
            <w:pPr>
              <w:spacing w:line="300" w:lineRule="exact"/>
              <w:jc w:val="right"/>
              <w:rPr>
                <w:rFonts w:hint="eastAsia" w:ascii="仿宋_GB2312" w:hAnsi="仿宋_GB2312" w:eastAsia="仿宋_GB2312" w:cs="仿宋_GB2312"/>
                <w:b/>
              </w:rPr>
            </w:pPr>
          </w:p>
        </w:tc>
        <w:tc>
          <w:tcPr>
            <w:tcW w:w="315" w:type="pct"/>
            <w:shd w:val="clear" w:color="auto" w:fill="auto"/>
            <w:vAlign w:val="center"/>
          </w:tcPr>
          <w:p>
            <w:pPr>
              <w:spacing w:line="300" w:lineRule="exact"/>
              <w:jc w:val="right"/>
              <w:rPr>
                <w:rFonts w:hint="eastAsia" w:ascii="仿宋_GB2312" w:hAnsi="仿宋_GB2312" w:eastAsia="仿宋_GB2312" w:cs="仿宋_GB2312"/>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24"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运转类公用项目</w:t>
            </w:r>
          </w:p>
        </w:tc>
        <w:tc>
          <w:tcPr>
            <w:tcW w:w="413"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3.98</w:t>
            </w:r>
          </w:p>
        </w:tc>
        <w:tc>
          <w:tcPr>
            <w:tcW w:w="556"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其他印刷服务</w:t>
            </w:r>
          </w:p>
        </w:tc>
        <w:tc>
          <w:tcPr>
            <w:tcW w:w="477"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C08140199</w:t>
            </w:r>
          </w:p>
        </w:tc>
        <w:tc>
          <w:tcPr>
            <w:tcW w:w="266" w:type="pct"/>
            <w:shd w:val="clear" w:color="auto" w:fill="auto"/>
            <w:vAlign w:val="center"/>
          </w:tcPr>
          <w:p>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次</w:t>
            </w:r>
          </w:p>
        </w:tc>
        <w:tc>
          <w:tcPr>
            <w:tcW w:w="27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20</w:t>
            </w:r>
          </w:p>
        </w:tc>
        <w:tc>
          <w:tcPr>
            <w:tcW w:w="29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0.10</w:t>
            </w:r>
          </w:p>
        </w:tc>
        <w:tc>
          <w:tcPr>
            <w:tcW w:w="315"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2.00</w:t>
            </w:r>
          </w:p>
        </w:tc>
        <w:tc>
          <w:tcPr>
            <w:tcW w:w="381"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2.00</w:t>
            </w:r>
          </w:p>
        </w:tc>
        <w:tc>
          <w:tcPr>
            <w:tcW w:w="287" w:type="pct"/>
            <w:shd w:val="clear" w:color="auto" w:fill="auto"/>
            <w:vAlign w:val="center"/>
          </w:tcPr>
          <w:p>
            <w:pPr>
              <w:spacing w:line="300" w:lineRule="exact"/>
              <w:jc w:val="right"/>
              <w:rPr>
                <w:rFonts w:hint="eastAsia" w:ascii="仿宋_GB2312" w:hAnsi="仿宋_GB2312" w:eastAsia="仿宋_GB2312" w:cs="仿宋_GB2312"/>
              </w:rPr>
            </w:pPr>
          </w:p>
        </w:tc>
        <w:tc>
          <w:tcPr>
            <w:tcW w:w="413" w:type="pct"/>
            <w:shd w:val="clear" w:color="auto" w:fill="auto"/>
            <w:vAlign w:val="center"/>
          </w:tcPr>
          <w:p>
            <w:pPr>
              <w:spacing w:line="300" w:lineRule="exact"/>
              <w:jc w:val="right"/>
              <w:rPr>
                <w:rFonts w:hint="eastAsia" w:ascii="仿宋_GB2312" w:hAnsi="仿宋_GB2312" w:eastAsia="仿宋_GB2312" w:cs="仿宋_GB2312"/>
              </w:rPr>
            </w:pPr>
          </w:p>
        </w:tc>
        <w:tc>
          <w:tcPr>
            <w:tcW w:w="385" w:type="pct"/>
            <w:shd w:val="clear" w:color="auto" w:fill="auto"/>
            <w:vAlign w:val="center"/>
          </w:tcPr>
          <w:p>
            <w:pPr>
              <w:spacing w:line="300" w:lineRule="exact"/>
              <w:jc w:val="right"/>
              <w:rPr>
                <w:rFonts w:hint="eastAsia" w:ascii="仿宋_GB2312" w:hAnsi="仿宋_GB2312" w:eastAsia="仿宋_GB2312" w:cs="仿宋_GB2312"/>
              </w:rPr>
            </w:pPr>
          </w:p>
        </w:tc>
        <w:tc>
          <w:tcPr>
            <w:tcW w:w="315" w:type="pct"/>
            <w:shd w:val="clear" w:color="auto" w:fill="auto"/>
            <w:vAlign w:val="center"/>
          </w:tcPr>
          <w:p>
            <w:pPr>
              <w:spacing w:line="300" w:lineRule="exact"/>
              <w:jc w:val="right"/>
              <w:rPr>
                <w:rFonts w:hint="eastAsia" w:ascii="仿宋_GB2312" w:hAnsi="仿宋_GB2312" w:eastAsia="仿宋_GB2312" w:cs="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24"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工经联专项经费</w:t>
            </w:r>
          </w:p>
        </w:tc>
        <w:tc>
          <w:tcPr>
            <w:tcW w:w="413"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2.20</w:t>
            </w:r>
          </w:p>
        </w:tc>
        <w:tc>
          <w:tcPr>
            <w:tcW w:w="556"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复印纸</w:t>
            </w:r>
          </w:p>
        </w:tc>
        <w:tc>
          <w:tcPr>
            <w:tcW w:w="477"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A090101</w:t>
            </w:r>
          </w:p>
        </w:tc>
        <w:tc>
          <w:tcPr>
            <w:tcW w:w="266" w:type="pct"/>
            <w:shd w:val="clear" w:color="auto" w:fill="auto"/>
            <w:vAlign w:val="center"/>
          </w:tcPr>
          <w:p>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包</w:t>
            </w:r>
          </w:p>
        </w:tc>
        <w:tc>
          <w:tcPr>
            <w:tcW w:w="27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10</w:t>
            </w:r>
          </w:p>
        </w:tc>
        <w:tc>
          <w:tcPr>
            <w:tcW w:w="29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0.022</w:t>
            </w:r>
          </w:p>
        </w:tc>
        <w:tc>
          <w:tcPr>
            <w:tcW w:w="315"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0.22</w:t>
            </w:r>
          </w:p>
        </w:tc>
        <w:tc>
          <w:tcPr>
            <w:tcW w:w="381"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0.22</w:t>
            </w:r>
          </w:p>
        </w:tc>
        <w:tc>
          <w:tcPr>
            <w:tcW w:w="287" w:type="pct"/>
            <w:shd w:val="clear" w:color="auto" w:fill="auto"/>
            <w:vAlign w:val="center"/>
          </w:tcPr>
          <w:p>
            <w:pPr>
              <w:spacing w:line="300" w:lineRule="exact"/>
              <w:jc w:val="right"/>
              <w:rPr>
                <w:rFonts w:hint="eastAsia" w:ascii="仿宋_GB2312" w:hAnsi="仿宋_GB2312" w:eastAsia="仿宋_GB2312" w:cs="仿宋_GB2312"/>
              </w:rPr>
            </w:pPr>
          </w:p>
        </w:tc>
        <w:tc>
          <w:tcPr>
            <w:tcW w:w="413" w:type="pct"/>
            <w:shd w:val="clear" w:color="auto" w:fill="auto"/>
            <w:vAlign w:val="center"/>
          </w:tcPr>
          <w:p>
            <w:pPr>
              <w:spacing w:line="300" w:lineRule="exact"/>
              <w:jc w:val="right"/>
              <w:rPr>
                <w:rFonts w:hint="eastAsia" w:ascii="仿宋_GB2312" w:hAnsi="仿宋_GB2312" w:eastAsia="仿宋_GB2312" w:cs="仿宋_GB2312"/>
              </w:rPr>
            </w:pPr>
          </w:p>
        </w:tc>
        <w:tc>
          <w:tcPr>
            <w:tcW w:w="385" w:type="pct"/>
            <w:shd w:val="clear" w:color="auto" w:fill="auto"/>
            <w:vAlign w:val="center"/>
          </w:tcPr>
          <w:p>
            <w:pPr>
              <w:spacing w:line="300" w:lineRule="exact"/>
              <w:jc w:val="right"/>
              <w:rPr>
                <w:rFonts w:hint="eastAsia" w:ascii="仿宋_GB2312" w:hAnsi="仿宋_GB2312" w:eastAsia="仿宋_GB2312" w:cs="仿宋_GB2312"/>
              </w:rPr>
            </w:pPr>
          </w:p>
        </w:tc>
        <w:tc>
          <w:tcPr>
            <w:tcW w:w="315" w:type="pct"/>
            <w:shd w:val="clear" w:color="auto" w:fill="auto"/>
            <w:vAlign w:val="center"/>
          </w:tcPr>
          <w:p>
            <w:pPr>
              <w:spacing w:line="300" w:lineRule="exact"/>
              <w:jc w:val="right"/>
              <w:rPr>
                <w:rFonts w:hint="eastAsia" w:ascii="仿宋_GB2312" w:hAnsi="仿宋_GB2312" w:eastAsia="仿宋_GB2312" w:cs="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24"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工经联专项经费</w:t>
            </w:r>
          </w:p>
        </w:tc>
        <w:tc>
          <w:tcPr>
            <w:tcW w:w="413"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2.20</w:t>
            </w:r>
          </w:p>
        </w:tc>
        <w:tc>
          <w:tcPr>
            <w:tcW w:w="556"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其他印刷服务</w:t>
            </w:r>
          </w:p>
        </w:tc>
        <w:tc>
          <w:tcPr>
            <w:tcW w:w="477" w:type="pct"/>
            <w:shd w:val="clear" w:color="auto" w:fill="auto"/>
            <w:vAlign w:val="center"/>
          </w:tcPr>
          <w:p>
            <w:pPr>
              <w:spacing w:line="300" w:lineRule="exact"/>
              <w:jc w:val="left"/>
              <w:rPr>
                <w:rFonts w:hint="eastAsia" w:ascii="仿宋_GB2312" w:hAnsi="仿宋_GB2312" w:eastAsia="仿宋_GB2312" w:cs="仿宋_GB2312"/>
              </w:rPr>
            </w:pPr>
            <w:r>
              <w:rPr>
                <w:rFonts w:hint="eastAsia" w:ascii="仿宋_GB2312" w:hAnsi="仿宋_GB2312" w:eastAsia="仿宋_GB2312" w:cs="仿宋_GB2312"/>
              </w:rPr>
              <w:t>C08140199</w:t>
            </w:r>
          </w:p>
        </w:tc>
        <w:tc>
          <w:tcPr>
            <w:tcW w:w="266" w:type="pct"/>
            <w:shd w:val="clear" w:color="auto" w:fill="auto"/>
            <w:vAlign w:val="center"/>
          </w:tcPr>
          <w:p>
            <w:pPr>
              <w:spacing w:line="300" w:lineRule="exact"/>
              <w:jc w:val="center"/>
              <w:rPr>
                <w:rFonts w:hint="eastAsia" w:ascii="仿宋_GB2312" w:hAnsi="仿宋_GB2312" w:eastAsia="仿宋_GB2312" w:cs="仿宋_GB2312"/>
              </w:rPr>
            </w:pPr>
            <w:r>
              <w:rPr>
                <w:rFonts w:hint="eastAsia" w:ascii="仿宋_GB2312" w:hAnsi="仿宋_GB2312" w:eastAsia="仿宋_GB2312" w:cs="仿宋_GB2312"/>
              </w:rPr>
              <w:t>次</w:t>
            </w:r>
          </w:p>
        </w:tc>
        <w:tc>
          <w:tcPr>
            <w:tcW w:w="27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2</w:t>
            </w:r>
          </w:p>
        </w:tc>
        <w:tc>
          <w:tcPr>
            <w:tcW w:w="292"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0.10</w:t>
            </w:r>
          </w:p>
        </w:tc>
        <w:tc>
          <w:tcPr>
            <w:tcW w:w="315"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0.20</w:t>
            </w:r>
          </w:p>
        </w:tc>
        <w:tc>
          <w:tcPr>
            <w:tcW w:w="381" w:type="pct"/>
            <w:shd w:val="clear" w:color="auto" w:fill="auto"/>
            <w:vAlign w:val="center"/>
          </w:tcPr>
          <w:p>
            <w:pPr>
              <w:spacing w:line="300" w:lineRule="exact"/>
              <w:jc w:val="right"/>
              <w:rPr>
                <w:rFonts w:hint="eastAsia" w:ascii="仿宋_GB2312" w:hAnsi="仿宋_GB2312" w:eastAsia="仿宋_GB2312" w:cs="仿宋_GB2312"/>
              </w:rPr>
            </w:pPr>
            <w:r>
              <w:rPr>
                <w:rFonts w:hint="eastAsia" w:ascii="仿宋_GB2312" w:hAnsi="仿宋_GB2312" w:eastAsia="仿宋_GB2312" w:cs="仿宋_GB2312"/>
              </w:rPr>
              <w:t>0.20</w:t>
            </w:r>
          </w:p>
        </w:tc>
        <w:tc>
          <w:tcPr>
            <w:tcW w:w="287" w:type="pct"/>
            <w:shd w:val="clear" w:color="auto" w:fill="auto"/>
            <w:vAlign w:val="center"/>
          </w:tcPr>
          <w:p>
            <w:pPr>
              <w:spacing w:line="300" w:lineRule="exact"/>
              <w:jc w:val="right"/>
              <w:rPr>
                <w:rFonts w:hint="eastAsia" w:ascii="仿宋_GB2312" w:hAnsi="仿宋_GB2312" w:eastAsia="仿宋_GB2312" w:cs="仿宋_GB2312"/>
              </w:rPr>
            </w:pPr>
          </w:p>
        </w:tc>
        <w:tc>
          <w:tcPr>
            <w:tcW w:w="413" w:type="pct"/>
            <w:shd w:val="clear" w:color="auto" w:fill="auto"/>
            <w:vAlign w:val="center"/>
          </w:tcPr>
          <w:p>
            <w:pPr>
              <w:spacing w:line="300" w:lineRule="exact"/>
              <w:jc w:val="right"/>
              <w:rPr>
                <w:rFonts w:hint="eastAsia" w:ascii="仿宋_GB2312" w:hAnsi="仿宋_GB2312" w:eastAsia="仿宋_GB2312" w:cs="仿宋_GB2312"/>
              </w:rPr>
            </w:pPr>
          </w:p>
        </w:tc>
        <w:tc>
          <w:tcPr>
            <w:tcW w:w="385" w:type="pct"/>
            <w:shd w:val="clear" w:color="auto" w:fill="auto"/>
            <w:vAlign w:val="center"/>
          </w:tcPr>
          <w:p>
            <w:pPr>
              <w:spacing w:line="300" w:lineRule="exact"/>
              <w:jc w:val="right"/>
              <w:rPr>
                <w:rFonts w:hint="eastAsia" w:ascii="仿宋_GB2312" w:hAnsi="仿宋_GB2312" w:eastAsia="仿宋_GB2312" w:cs="仿宋_GB2312"/>
              </w:rPr>
            </w:pPr>
          </w:p>
        </w:tc>
        <w:tc>
          <w:tcPr>
            <w:tcW w:w="315" w:type="pct"/>
            <w:shd w:val="clear" w:color="auto" w:fill="auto"/>
            <w:vAlign w:val="center"/>
          </w:tcPr>
          <w:p>
            <w:pPr>
              <w:spacing w:line="300" w:lineRule="exact"/>
              <w:jc w:val="right"/>
              <w:rPr>
                <w:rFonts w:hint="eastAsia" w:ascii="仿宋_GB2312" w:hAnsi="仿宋_GB2312" w:eastAsia="仿宋_GB2312" w:cs="仿宋_GB2312"/>
              </w:rPr>
            </w:pPr>
          </w:p>
        </w:tc>
      </w:tr>
    </w:tbl>
    <w:p>
      <w:pPr>
        <w:widowControl/>
        <w:jc w:val="center"/>
        <w:rPr>
          <w:rFonts w:ascii="宋体" w:hAnsi="宋体" w:cs="宋体"/>
          <w:b/>
          <w:bCs/>
          <w:kern w:val="0"/>
          <w:sz w:val="32"/>
          <w:szCs w:val="32"/>
        </w:rPr>
      </w:pPr>
    </w:p>
    <w:p>
      <w:pPr>
        <w:widowControl/>
        <w:jc w:val="center"/>
        <w:rPr>
          <w:rFonts w:ascii="宋体" w:cs="宋体"/>
          <w:b/>
          <w:bCs/>
          <w:kern w:val="0"/>
          <w:sz w:val="32"/>
          <w:szCs w:val="32"/>
        </w:rPr>
      </w:pPr>
    </w:p>
    <w:bookmarkEnd w:id="9"/>
    <w:p>
      <w:pPr>
        <w:autoSpaceDE w:val="0"/>
        <w:autoSpaceDN w:val="0"/>
        <w:adjustRightInd w:val="0"/>
        <w:ind w:firstLine="640" w:firstLineChars="200"/>
        <w:jc w:val="left"/>
        <w:rPr>
          <w:rFonts w:ascii="黑体" w:hAnsi="黑体" w:eastAsia="黑体"/>
          <w:sz w:val="32"/>
          <w:szCs w:val="32"/>
        </w:rPr>
      </w:pPr>
      <w:r>
        <w:rPr>
          <w:rFonts w:ascii="黑体" w:hAnsi="黑体" w:eastAsia="黑体"/>
          <w:sz w:val="32"/>
          <w:szCs w:val="32"/>
        </w:rPr>
        <w:br w:type="page"/>
      </w:r>
      <w:r>
        <w:rPr>
          <w:rFonts w:hint="eastAsia" w:ascii="黑体" w:hAnsi="黑体" w:eastAsia="黑体"/>
          <w:sz w:val="32"/>
          <w:szCs w:val="32"/>
        </w:rPr>
        <w:t>七、国有资产信息</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隆尧县工业经济联合会秘书处2020年末固定资产金额为6.82 万元</w:t>
      </w:r>
      <w:r>
        <w:rPr>
          <w:rFonts w:hint="eastAsia" w:ascii="仿宋_GB2312" w:hAnsi="仿宋" w:eastAsia="仿宋_GB2312" w:cs="仿宋"/>
          <w:sz w:val="32"/>
          <w:szCs w:val="32"/>
          <w:lang w:eastAsia="zh-CN"/>
        </w:rPr>
        <w:t>（详见下表）</w:t>
      </w:r>
      <w:r>
        <w:rPr>
          <w:rFonts w:hint="eastAsia" w:ascii="仿宋_GB2312" w:hAnsi="仿宋" w:eastAsia="仿宋_GB2312" w:cs="仿宋"/>
          <w:sz w:val="32"/>
          <w:szCs w:val="32"/>
        </w:rPr>
        <w:t>，本年度</w:t>
      </w:r>
      <w:r>
        <w:rPr>
          <w:rFonts w:hint="eastAsia" w:ascii="仿宋_GB2312" w:hAnsi="仿宋" w:eastAsia="仿宋_GB2312" w:cs="仿宋"/>
          <w:sz w:val="32"/>
          <w:szCs w:val="32"/>
          <w:lang w:eastAsia="zh-CN"/>
        </w:rPr>
        <w:t>拟</w:t>
      </w:r>
      <w:r>
        <w:rPr>
          <w:rFonts w:hint="eastAsia" w:ascii="仿宋_GB2312" w:hAnsi="仿宋" w:eastAsia="仿宋_GB2312" w:cs="仿宋"/>
          <w:sz w:val="32"/>
          <w:szCs w:val="32"/>
        </w:rPr>
        <w:t>购置固定资产</w:t>
      </w:r>
      <w:r>
        <w:rPr>
          <w:rFonts w:hint="eastAsia" w:ascii="仿宋_GB2312" w:hAnsi="仿宋" w:eastAsia="仿宋_GB2312" w:cs="仿宋"/>
          <w:sz w:val="32"/>
          <w:szCs w:val="32"/>
          <w:lang w:val="en-US" w:eastAsia="zh-CN"/>
        </w:rPr>
        <w:t>0万元</w:t>
      </w:r>
      <w:r>
        <w:rPr>
          <w:rFonts w:hint="eastAsia" w:ascii="仿宋_GB2312" w:hAnsi="仿宋" w:eastAsia="仿宋_GB2312" w:cs="仿宋"/>
          <w:sz w:val="32"/>
          <w:szCs w:val="32"/>
        </w:rPr>
        <w:t>。</w:t>
      </w:r>
    </w:p>
    <w:p>
      <w:pPr>
        <w:autoSpaceDE w:val="0"/>
        <w:autoSpaceDN w:val="0"/>
        <w:adjustRightInd w:val="0"/>
        <w:spacing w:line="240" w:lineRule="exact"/>
        <w:ind w:left="198" w:firstLine="640" w:firstLineChars="200"/>
        <w:jc w:val="left"/>
        <w:rPr>
          <w:rFonts w:ascii="黑体" w:hAnsi="黑体" w:eastAsia="黑体"/>
          <w:sz w:val="32"/>
          <w:szCs w:val="32"/>
        </w:rPr>
      </w:pPr>
    </w:p>
    <w:tbl>
      <w:tblPr>
        <w:tblStyle w:val="10"/>
        <w:tblW w:w="4641" w:type="pct"/>
        <w:jc w:val="center"/>
        <w:tblLayout w:type="autofit"/>
        <w:tblCellMar>
          <w:top w:w="0" w:type="dxa"/>
          <w:left w:w="108" w:type="dxa"/>
          <w:bottom w:w="0" w:type="dxa"/>
          <w:right w:w="108" w:type="dxa"/>
        </w:tblCellMar>
      </w:tblPr>
      <w:tblGrid>
        <w:gridCol w:w="5396"/>
        <w:gridCol w:w="3262"/>
        <w:gridCol w:w="4277"/>
      </w:tblGrid>
      <w:tr>
        <w:tblPrEx>
          <w:tblCellMar>
            <w:top w:w="0" w:type="dxa"/>
            <w:left w:w="108" w:type="dxa"/>
            <w:bottom w:w="0" w:type="dxa"/>
            <w:right w:w="108" w:type="dxa"/>
          </w:tblCellMar>
        </w:tblPrEx>
        <w:trPr>
          <w:trHeight w:val="705" w:hRule="atLeast"/>
          <w:jc w:val="center"/>
        </w:trPr>
        <w:tc>
          <w:tcPr>
            <w:tcW w:w="5000" w:type="pct"/>
            <w:gridSpan w:val="3"/>
            <w:tcBorders>
              <w:top w:val="nil"/>
              <w:left w:val="nil"/>
              <w:bottom w:val="nil"/>
              <w:right w:val="nil"/>
            </w:tcBorders>
            <w:noWrap/>
            <w:vAlign w:val="center"/>
          </w:tcPr>
          <w:p>
            <w:pPr>
              <w:widowControl/>
              <w:jc w:val="center"/>
              <w:rPr>
                <w:rFonts w:hint="eastAsia" w:ascii="仿宋_GB2312" w:hAnsi="仿宋_GB2312" w:eastAsia="仿宋_GB2312" w:cs="仿宋_GB2312"/>
                <w:b/>
                <w:bCs/>
                <w:kern w:val="0"/>
                <w:sz w:val="28"/>
                <w:szCs w:val="28"/>
              </w:rPr>
            </w:pPr>
            <w:r>
              <w:rPr>
                <w:rFonts w:hint="eastAsia" w:ascii="仿宋_GB2312" w:hAnsi="仿宋_GB2312" w:eastAsia="仿宋_GB2312" w:cs="仿宋_GB2312"/>
                <w:b/>
                <w:bCs/>
                <w:kern w:val="0"/>
                <w:sz w:val="28"/>
                <w:szCs w:val="28"/>
              </w:rPr>
              <w:t>隆尧县县直部门固定资产占用情况表</w:t>
            </w:r>
          </w:p>
        </w:tc>
      </w:tr>
      <w:tr>
        <w:tblPrEx>
          <w:tblCellMar>
            <w:top w:w="0" w:type="dxa"/>
            <w:left w:w="108" w:type="dxa"/>
            <w:bottom w:w="0" w:type="dxa"/>
            <w:right w:w="108" w:type="dxa"/>
          </w:tblCellMar>
        </w:tblPrEx>
        <w:trPr>
          <w:trHeight w:val="510" w:hRule="atLeast"/>
          <w:jc w:val="center"/>
        </w:trPr>
        <w:tc>
          <w:tcPr>
            <w:tcW w:w="3347" w:type="pct"/>
            <w:gridSpan w:val="2"/>
            <w:tcBorders>
              <w:top w:val="nil"/>
              <w:left w:val="nil"/>
              <w:bottom w:val="nil"/>
              <w:right w:val="nil"/>
            </w:tcBorders>
            <w:noWrap/>
            <w:vAlign w:val="center"/>
          </w:tcPr>
          <w:p>
            <w:pPr>
              <w:widowControl/>
              <w:jc w:val="left"/>
              <w:rPr>
                <w:rFonts w:hint="eastAsia" w:ascii="仿宋_GB2312" w:hAnsi="仿宋_GB2312" w:eastAsia="仿宋_GB2312" w:cs="仿宋_GB2312"/>
                <w:kern w:val="0"/>
                <w:sz w:val="28"/>
                <w:szCs w:val="28"/>
                <w:lang w:eastAsia="zh-CN"/>
              </w:rPr>
            </w:pPr>
            <w:r>
              <w:rPr>
                <w:rFonts w:hint="eastAsia" w:ascii="仿宋_GB2312" w:hAnsi="仿宋_GB2312" w:eastAsia="仿宋_GB2312" w:cs="仿宋_GB2312"/>
                <w:kern w:val="0"/>
                <w:sz w:val="28"/>
                <w:szCs w:val="28"/>
              </w:rPr>
              <w:t>编制部门：</w:t>
            </w:r>
            <w:r>
              <w:rPr>
                <w:rFonts w:hint="eastAsia" w:ascii="仿宋_GB2312" w:hAnsi="仿宋_GB2312" w:eastAsia="仿宋_GB2312" w:cs="仿宋_GB2312"/>
                <w:kern w:val="0"/>
                <w:sz w:val="28"/>
                <w:szCs w:val="28"/>
                <w:lang w:eastAsia="zh-CN"/>
              </w:rPr>
              <w:t>隆尧县工业经济联合会秘书处</w:t>
            </w:r>
          </w:p>
        </w:tc>
        <w:tc>
          <w:tcPr>
            <w:tcW w:w="1652" w:type="pct"/>
            <w:tcBorders>
              <w:top w:val="nil"/>
              <w:left w:val="nil"/>
              <w:bottom w:val="nil"/>
              <w:right w:val="nil"/>
            </w:tcBorders>
            <w:noWrap/>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截止时间：2020年12月31日</w:t>
            </w:r>
          </w:p>
        </w:tc>
      </w:tr>
      <w:tr>
        <w:tblPrEx>
          <w:tblCellMar>
            <w:top w:w="0" w:type="dxa"/>
            <w:left w:w="108" w:type="dxa"/>
            <w:bottom w:w="0" w:type="dxa"/>
            <w:right w:w="108" w:type="dxa"/>
          </w:tblCellMar>
        </w:tblPrEx>
        <w:trPr>
          <w:trHeight w:val="645" w:hRule="atLeast"/>
          <w:jc w:val="center"/>
        </w:trPr>
        <w:tc>
          <w:tcPr>
            <w:tcW w:w="2086"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28"/>
                <w:szCs w:val="28"/>
              </w:rPr>
            </w:pPr>
            <w:r>
              <w:rPr>
                <w:rFonts w:hint="eastAsia" w:ascii="仿宋_GB2312" w:hAnsi="仿宋_GB2312" w:eastAsia="仿宋_GB2312" w:cs="仿宋_GB2312"/>
                <w:b/>
                <w:bCs/>
                <w:kern w:val="0"/>
                <w:sz w:val="28"/>
                <w:szCs w:val="28"/>
              </w:rPr>
              <w:t>项目</w:t>
            </w:r>
          </w:p>
        </w:tc>
        <w:tc>
          <w:tcPr>
            <w:tcW w:w="1260" w:type="pct"/>
            <w:tcBorders>
              <w:top w:val="single" w:color="auto" w:sz="4" w:space="0"/>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28"/>
                <w:szCs w:val="28"/>
              </w:rPr>
            </w:pPr>
            <w:r>
              <w:rPr>
                <w:rFonts w:hint="eastAsia" w:ascii="仿宋_GB2312" w:hAnsi="仿宋_GB2312" w:eastAsia="仿宋_GB2312" w:cs="仿宋_GB2312"/>
                <w:b/>
                <w:bCs/>
                <w:kern w:val="0"/>
                <w:sz w:val="28"/>
                <w:szCs w:val="28"/>
              </w:rPr>
              <w:t>数量</w:t>
            </w:r>
          </w:p>
        </w:tc>
        <w:tc>
          <w:tcPr>
            <w:tcW w:w="1652" w:type="pct"/>
            <w:tcBorders>
              <w:top w:val="single" w:color="auto" w:sz="4" w:space="0"/>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b/>
                <w:bCs/>
                <w:kern w:val="0"/>
                <w:sz w:val="28"/>
                <w:szCs w:val="28"/>
              </w:rPr>
            </w:pPr>
            <w:r>
              <w:rPr>
                <w:rFonts w:hint="eastAsia" w:ascii="仿宋_GB2312" w:hAnsi="仿宋_GB2312" w:eastAsia="仿宋_GB2312" w:cs="仿宋_GB2312"/>
                <w:b/>
                <w:bCs/>
                <w:kern w:val="0"/>
                <w:sz w:val="28"/>
                <w:szCs w:val="28"/>
              </w:rPr>
              <w:t>价值（金额单位：万元）</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noWrap/>
            <w:vAlign w:val="center"/>
          </w:tcPr>
          <w:p>
            <w:pPr>
              <w:widowControl/>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资产总额</w:t>
            </w:r>
          </w:p>
        </w:tc>
        <w:tc>
          <w:tcPr>
            <w:tcW w:w="1260" w:type="pct"/>
            <w:tcBorders>
              <w:top w:val="nil"/>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widowControl/>
              <w:jc w:val="center"/>
              <w:rPr>
                <w:rFonts w:hint="eastAsia" w:ascii="仿宋_GB2312" w:hAnsi="仿宋_GB2312" w:eastAsia="仿宋_GB2312" w:cs="仿宋_GB2312"/>
                <w:kern w:val="0"/>
                <w:sz w:val="28"/>
                <w:szCs w:val="28"/>
                <w:lang w:val="en-US" w:eastAsia="zh-CN"/>
              </w:rPr>
            </w:pPr>
            <w:r>
              <w:rPr>
                <w:rFonts w:hint="eastAsia" w:ascii="仿宋_GB2312" w:hAnsi="仿宋_GB2312" w:eastAsia="仿宋_GB2312" w:cs="仿宋_GB2312"/>
                <w:kern w:val="0"/>
                <w:sz w:val="28"/>
                <w:szCs w:val="28"/>
                <w:lang w:val="en-US" w:eastAsia="zh-CN"/>
              </w:rPr>
              <w:t>6.82</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noWrap/>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1、房屋（平方米）</w:t>
            </w:r>
          </w:p>
        </w:tc>
        <w:tc>
          <w:tcPr>
            <w:tcW w:w="1260"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noWrap/>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其中：办公用房（平方米）</w:t>
            </w:r>
          </w:p>
        </w:tc>
        <w:tc>
          <w:tcPr>
            <w:tcW w:w="1260"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noWrap/>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2、车辆（台、辆）</w:t>
            </w:r>
          </w:p>
        </w:tc>
        <w:tc>
          <w:tcPr>
            <w:tcW w:w="1260"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3、单价在20万元以上的设备</w:t>
            </w:r>
          </w:p>
        </w:tc>
        <w:tc>
          <w:tcPr>
            <w:tcW w:w="1260"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0</w:t>
            </w:r>
          </w:p>
        </w:tc>
      </w:tr>
      <w:tr>
        <w:tblPrEx>
          <w:tblCellMar>
            <w:top w:w="0" w:type="dxa"/>
            <w:left w:w="108" w:type="dxa"/>
            <w:bottom w:w="0" w:type="dxa"/>
            <w:right w:w="108" w:type="dxa"/>
          </w:tblCellMar>
        </w:tblPrEx>
        <w:trPr>
          <w:trHeight w:val="645" w:hRule="atLeast"/>
          <w:jc w:val="center"/>
        </w:trPr>
        <w:tc>
          <w:tcPr>
            <w:tcW w:w="2086" w:type="pct"/>
            <w:tcBorders>
              <w:top w:val="nil"/>
              <w:left w:val="single" w:color="auto" w:sz="4" w:space="0"/>
              <w:bottom w:val="single" w:color="auto" w:sz="4" w:space="0"/>
              <w:right w:val="single" w:color="auto" w:sz="4" w:space="0"/>
            </w:tcBorders>
            <w:noWrap/>
            <w:vAlign w:val="center"/>
          </w:tcPr>
          <w:p>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4、其他固定资产</w:t>
            </w:r>
          </w:p>
        </w:tc>
        <w:tc>
          <w:tcPr>
            <w:tcW w:w="1260"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rPr>
              <w:t>——</w:t>
            </w:r>
          </w:p>
        </w:tc>
        <w:tc>
          <w:tcPr>
            <w:tcW w:w="1652" w:type="pct"/>
            <w:tcBorders>
              <w:top w:val="nil"/>
              <w:left w:val="nil"/>
              <w:bottom w:val="single" w:color="auto" w:sz="4" w:space="0"/>
              <w:right w:val="single" w:color="auto" w:sz="4" w:space="0"/>
            </w:tcBorders>
            <w:noWrap/>
            <w:vAlign w:val="center"/>
          </w:tcPr>
          <w:p>
            <w:pPr>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6.82</w:t>
            </w:r>
          </w:p>
        </w:tc>
      </w:tr>
    </w:tbl>
    <w:p>
      <w:pPr>
        <w:keepNext w:val="0"/>
        <w:keepLines w:val="0"/>
        <w:pageBreakBefore w:val="0"/>
        <w:widowControl w:val="0"/>
        <w:kinsoku/>
        <w:wordWrap/>
        <w:overflowPunct/>
        <w:topLinePunct w:val="0"/>
        <w:autoSpaceDE w:val="0"/>
        <w:autoSpaceDN w:val="0"/>
        <w:bidi w:val="0"/>
        <w:adjustRightInd w:val="0"/>
        <w:snapToGrid/>
        <w:spacing w:before="157" w:beforeLines="50" w:line="600" w:lineRule="exact"/>
        <w:ind w:left="198" w:firstLine="640" w:firstLineChars="200"/>
        <w:jc w:val="left"/>
        <w:textAlignment w:val="auto"/>
        <w:rPr>
          <w:rFonts w:hint="eastAsia" w:ascii="黑体" w:hAnsi="黑体" w:eastAsia="黑体"/>
          <w:sz w:val="32"/>
          <w:szCs w:val="32"/>
        </w:rPr>
      </w:pPr>
    </w:p>
    <w:p>
      <w:pPr>
        <w:keepNext w:val="0"/>
        <w:keepLines w:val="0"/>
        <w:pageBreakBefore w:val="0"/>
        <w:widowControl w:val="0"/>
        <w:kinsoku/>
        <w:wordWrap/>
        <w:overflowPunct/>
        <w:topLinePunct w:val="0"/>
        <w:autoSpaceDE w:val="0"/>
        <w:autoSpaceDN w:val="0"/>
        <w:bidi w:val="0"/>
        <w:adjustRightInd w:val="0"/>
        <w:snapToGrid/>
        <w:spacing w:before="157" w:beforeLines="50" w:line="600" w:lineRule="exact"/>
        <w:ind w:left="198" w:firstLine="640" w:firstLineChars="200"/>
        <w:jc w:val="left"/>
        <w:textAlignment w:val="auto"/>
        <w:rPr>
          <w:rFonts w:ascii="黑体" w:hAnsi="黑体" w:eastAsia="黑体"/>
          <w:sz w:val="32"/>
          <w:szCs w:val="32"/>
        </w:rPr>
      </w:pPr>
      <w:r>
        <w:rPr>
          <w:rFonts w:hint="eastAsia" w:ascii="黑体" w:hAnsi="黑体" w:eastAsia="黑体"/>
          <w:sz w:val="32"/>
          <w:szCs w:val="32"/>
        </w:rPr>
        <w:t>八、名词解释</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1、一般公共预算拨款收入：</w:t>
      </w:r>
      <w:r>
        <w:rPr>
          <w:rFonts w:hint="eastAsia" w:ascii="仿宋_GB2312" w:hAnsi="Times New Roman" w:eastAsia="仿宋_GB2312"/>
          <w:sz w:val="32"/>
          <w:szCs w:val="32"/>
        </w:rPr>
        <w:t>指</w:t>
      </w:r>
      <w:r>
        <w:rPr>
          <w:rFonts w:hint="eastAsia" w:ascii="仿宋_GB2312" w:hAnsi="Times New Roman" w:eastAsia="仿宋_GB2312"/>
          <w:sz w:val="32"/>
          <w:szCs w:val="32"/>
          <w:lang w:eastAsia="zh-CN"/>
        </w:rPr>
        <w:t>县</w:t>
      </w:r>
      <w:r>
        <w:rPr>
          <w:rFonts w:hint="eastAsia" w:ascii="仿宋_GB2312" w:hAnsi="Times New Roman" w:eastAsia="仿宋_GB2312"/>
          <w:sz w:val="32"/>
          <w:szCs w:val="32"/>
        </w:rPr>
        <w:t>级财政当年拨付的资金。</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2、事业收入：</w:t>
      </w:r>
      <w:r>
        <w:rPr>
          <w:rFonts w:hint="eastAsia" w:ascii="仿宋_GB2312" w:hAnsi="Times New Roman" w:eastAsia="仿宋_GB2312"/>
          <w:sz w:val="32"/>
          <w:szCs w:val="32"/>
        </w:rPr>
        <w:t>指事业单位开展专业业务活动及辅助活动所取得的收入。</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b/>
          <w:sz w:val="32"/>
          <w:szCs w:val="32"/>
        </w:rPr>
      </w:pPr>
      <w:r>
        <w:rPr>
          <w:rFonts w:hint="eastAsia" w:ascii="仿宋_GB2312" w:hAnsi="Times New Roman" w:eastAsia="仿宋_GB2312"/>
          <w:b/>
          <w:sz w:val="32"/>
          <w:szCs w:val="32"/>
        </w:rPr>
        <w:t>3、其他收入：</w:t>
      </w:r>
      <w:r>
        <w:rPr>
          <w:rFonts w:hint="eastAsia" w:ascii="仿宋_GB2312" w:hAnsi="Times New Roman" w:eastAsia="仿宋_GB2312"/>
          <w:sz w:val="32"/>
          <w:szCs w:val="32"/>
        </w:rPr>
        <w:t>指除“一般公共预算拨款收入”、“事业收入”等以外的收入。主要是按规定动用的租房收入、存款利息收入等。</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4、基本支出：</w:t>
      </w:r>
      <w:r>
        <w:rPr>
          <w:rFonts w:hint="eastAsia" w:ascii="仿宋_GB2312" w:hAnsi="Times New Roman" w:eastAsia="仿宋_GB2312"/>
          <w:sz w:val="32"/>
          <w:szCs w:val="32"/>
        </w:rPr>
        <w:t>指为保障机构正常运转、完成日常工作任务而发生的人员支出和公用支出。</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5、项目支出：</w:t>
      </w:r>
      <w:r>
        <w:rPr>
          <w:rFonts w:hint="eastAsia" w:ascii="仿宋_GB2312" w:hAnsi="Times New Roman" w:eastAsia="仿宋_GB2312"/>
          <w:sz w:val="32"/>
          <w:szCs w:val="32"/>
        </w:rPr>
        <w:t>指在基本支出之外为完成特定行政任务和事业发展目标所发生的支出。</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6、上缴上级支出：</w:t>
      </w:r>
      <w:r>
        <w:rPr>
          <w:rFonts w:hint="eastAsia" w:ascii="仿宋_GB2312" w:hAnsi="Times New Roman" w:eastAsia="仿宋_GB2312"/>
          <w:sz w:val="32"/>
          <w:szCs w:val="32"/>
        </w:rPr>
        <w:t>指下级单位上缴上级的支出。</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7、“三公”经费：</w:t>
      </w:r>
      <w:r>
        <w:rPr>
          <w:rFonts w:hint="eastAsia" w:ascii="仿宋_GB2312" w:hAnsi="Times New Roman" w:eastAsia="仿宋_GB2312"/>
          <w:sz w:val="32"/>
          <w:szCs w:val="32"/>
        </w:rPr>
        <w:t>纳入</w:t>
      </w:r>
      <w:r>
        <w:rPr>
          <w:rFonts w:hint="eastAsia" w:ascii="仿宋_GB2312" w:hAnsi="Times New Roman" w:eastAsia="仿宋_GB2312"/>
          <w:sz w:val="32"/>
          <w:szCs w:val="32"/>
          <w:lang w:eastAsia="zh-CN"/>
        </w:rPr>
        <w:t>县</w:t>
      </w:r>
      <w:r>
        <w:rPr>
          <w:rFonts w:hint="eastAsia" w:ascii="仿宋_GB2312" w:hAnsi="Times New Roman" w:eastAsia="仿宋_GB2312"/>
          <w:sz w:val="32"/>
          <w:szCs w:val="32"/>
        </w:rPr>
        <w:t>级财政预算管理的“三公”经费，是指</w:t>
      </w:r>
      <w:r>
        <w:rPr>
          <w:rFonts w:hint="eastAsia" w:ascii="仿宋_GB2312" w:hAnsi="Times New Roman" w:eastAsia="仿宋_GB2312"/>
          <w:sz w:val="32"/>
          <w:szCs w:val="32"/>
          <w:lang w:eastAsia="zh-CN"/>
        </w:rPr>
        <w:t>县</w:t>
      </w:r>
      <w:r>
        <w:rPr>
          <w:rFonts w:hint="eastAsia" w:ascii="仿宋_GB2312" w:hAnsi="Times New Roman" w:eastAsia="仿宋_GB231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仿宋_GB2312" w:hAnsi="Times New Roman" w:eastAsia="仿宋_GB2312"/>
          <w:sz w:val="32"/>
          <w:szCs w:val="32"/>
        </w:rPr>
      </w:pPr>
      <w:r>
        <w:rPr>
          <w:rFonts w:hint="eastAsia" w:ascii="仿宋_GB2312" w:hAnsi="Times New Roman" w:eastAsia="仿宋_GB2312"/>
          <w:b/>
          <w:sz w:val="32"/>
          <w:szCs w:val="32"/>
        </w:rPr>
        <w:t>8、机关运行费：</w:t>
      </w:r>
      <w:r>
        <w:rPr>
          <w:rFonts w:hint="eastAsia" w:ascii="仿宋_GB2312" w:hAnsi="Times New Roman" w:eastAsia="仿宋_GB2312"/>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val="0"/>
        <w:tabs>
          <w:tab w:val="left" w:pos="11490"/>
        </w:tabs>
        <w:kinsoku/>
        <w:wordWrap/>
        <w:overflowPunct/>
        <w:topLinePunct w:val="0"/>
        <w:bidi w:val="0"/>
        <w:snapToGrid/>
        <w:spacing w:line="600" w:lineRule="exact"/>
        <w:ind w:firstLine="640" w:firstLineChars="200"/>
        <w:textAlignment w:val="auto"/>
        <w:rPr>
          <w:rFonts w:ascii="Times New Roman" w:hAnsi="Times New Roman" w:eastAsia="方正仿宋_GBK"/>
          <w:sz w:val="32"/>
          <w:szCs w:val="32"/>
        </w:rPr>
      </w:pPr>
      <w:r>
        <w:rPr>
          <w:rFonts w:hint="eastAsia" w:ascii="仿宋_GB2312" w:hAnsi="Times New Roman" w:eastAsia="仿宋_GB2312"/>
          <w:b/>
          <w:sz w:val="32"/>
          <w:szCs w:val="32"/>
        </w:rPr>
        <w:t>9、上年结转：</w:t>
      </w:r>
      <w:r>
        <w:rPr>
          <w:rFonts w:hint="eastAsia" w:ascii="仿宋_GB2312" w:hAnsi="Times New Roman" w:eastAsia="仿宋_GB2312"/>
          <w:sz w:val="32"/>
          <w:szCs w:val="32"/>
        </w:rPr>
        <w:t>指以前年度尚未完成、结转到本年仍按原规定用途继续使用的资金。</w:t>
      </w:r>
    </w:p>
    <w:p>
      <w:pPr>
        <w:keepNext w:val="0"/>
        <w:keepLines w:val="0"/>
        <w:pageBreakBefore w:val="0"/>
        <w:widowControl w:val="0"/>
        <w:kinsoku/>
        <w:wordWrap/>
        <w:overflowPunct/>
        <w:topLinePunct w:val="0"/>
        <w:autoSpaceDE w:val="0"/>
        <w:autoSpaceDN w:val="0"/>
        <w:bidi w:val="0"/>
        <w:adjustRightInd w:val="0"/>
        <w:snapToGrid/>
        <w:spacing w:before="157" w:beforeLines="50" w:line="600" w:lineRule="exact"/>
        <w:ind w:firstLine="640" w:firstLineChars="200"/>
        <w:jc w:val="left"/>
        <w:textAlignment w:val="auto"/>
        <w:rPr>
          <w:rFonts w:ascii="黑体" w:hAnsi="黑体" w:eastAsia="黑体"/>
          <w:sz w:val="32"/>
          <w:szCs w:val="32"/>
        </w:rPr>
      </w:pPr>
      <w:r>
        <w:rPr>
          <w:rFonts w:hint="eastAsia" w:ascii="黑体" w:hAnsi="黑体" w:eastAsia="黑体"/>
          <w:sz w:val="32"/>
          <w:szCs w:val="32"/>
        </w:rPr>
        <w:t>九、其他需要说明的事项</w:t>
      </w:r>
    </w:p>
    <w:p>
      <w:pPr>
        <w:keepNext w:val="0"/>
        <w:keepLines w:val="0"/>
        <w:pageBreakBefore w:val="0"/>
        <w:widowControl w:val="0"/>
        <w:kinsoku/>
        <w:wordWrap/>
        <w:overflowPunct/>
        <w:topLinePunct w:val="0"/>
        <w:bidi w:val="0"/>
        <w:snapToGrid/>
        <w:spacing w:line="600" w:lineRule="exact"/>
        <w:ind w:firstLine="640" w:firstLineChars="200"/>
        <w:textAlignment w:val="auto"/>
        <w:rPr>
          <w:sz w:val="32"/>
          <w:szCs w:val="32"/>
        </w:rPr>
      </w:pPr>
      <w:r>
        <w:rPr>
          <w:rFonts w:hint="eastAsia" w:ascii="仿宋_GB2312" w:hAnsi="Times New Roman" w:eastAsia="仿宋_GB2312"/>
          <w:sz w:val="32"/>
          <w:szCs w:val="32"/>
        </w:rPr>
        <w:t>我部门无其他需要说明的事项。</w:t>
      </w:r>
      <w:bookmarkEnd w:id="0"/>
    </w:p>
    <w:sectPr>
      <w:headerReference r:id="rId8" w:type="first"/>
      <w:footerReference r:id="rId11" w:type="first"/>
      <w:headerReference r:id="rId6" w:type="default"/>
      <w:footerReference r:id="rId9" w:type="default"/>
      <w:headerReference r:id="rId7" w:type="even"/>
      <w:footerReference r:id="rId10"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SimSun-ExtB"/>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w:pict>
        <v:shape id="文本框 7" o:spid="_x0000_s4097" o:spt="202" type="#_x0000_t202" style="position:absolute;left:0pt;margin-top:0pt;height:21.95pt;width:4.6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5"/>
                  <w:rPr>
                    <w:rStyle w:val="12"/>
                  </w:rPr>
                </w:pPr>
                <w:r>
                  <w:rPr>
                    <w:rStyle w:val="12"/>
                  </w:rPr>
                  <w:fldChar w:fldCharType="begin"/>
                </w:r>
                <w:r>
                  <w:rPr>
                    <w:rStyle w:val="12"/>
                  </w:rPr>
                  <w:instrText xml:space="preserve">PAGE  </w:instrText>
                </w:r>
                <w:r>
                  <w:rPr>
                    <w:rStyle w:val="12"/>
                  </w:rPr>
                  <w:fldChar w:fldCharType="separate"/>
                </w:r>
                <w:r>
                  <w:rPr>
                    <w:rStyle w:val="12"/>
                  </w:rPr>
                  <w:t>6</w:t>
                </w:r>
                <w:r>
                  <w:rPr>
                    <w:rStyle w:val="12"/>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w:pict>
        <v:shape id="_x0000_s4098" o:spid="_x0000_s4098" o:spt="202" type="#_x0000_t202" style="position:absolute;left:0pt;margin-top:0pt;height:21.95pt;width:4.6pt;mso-position-horizontal:center;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pPr>
                  <w:pStyle w:val="5"/>
                  <w:rPr>
                    <w:rStyle w:val="12"/>
                  </w:rPr>
                </w:pPr>
                <w:r>
                  <w:rPr>
                    <w:rStyle w:val="12"/>
                  </w:rPr>
                  <w:fldChar w:fldCharType="begin"/>
                </w:r>
                <w:r>
                  <w:rPr>
                    <w:rStyle w:val="12"/>
                  </w:rPr>
                  <w:instrText xml:space="preserve">PAGE  </w:instrText>
                </w:r>
                <w:r>
                  <w:rPr>
                    <w:rStyle w:val="12"/>
                  </w:rPr>
                  <w:fldChar w:fldCharType="separate"/>
                </w:r>
                <w:r>
                  <w:rPr>
                    <w:rStyle w:val="12"/>
                  </w:rPr>
                  <w:t>7</w:t>
                </w:r>
                <w:r>
                  <w:rPr>
                    <w:rStyle w:val="12"/>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88573711"/>
      <w:docPartObj>
        <w:docPartGallery w:val="autotext"/>
      </w:docPartObj>
    </w:sdtPr>
    <w:sdtContent>
      <w:p>
        <w:pPr>
          <w:pStyle w:val="5"/>
          <w:jc w:val="center"/>
        </w:pPr>
        <w:r>
          <w:fldChar w:fldCharType="begin"/>
        </w:r>
        <w:r>
          <w:instrText xml:space="preserve"> PAGE   \* MERGEFORMAT </w:instrText>
        </w:r>
        <w:r>
          <w:fldChar w:fldCharType="separate"/>
        </w:r>
        <w:r>
          <w:rPr>
            <w:lang w:val="zh-CN"/>
          </w:rPr>
          <w:t>11</w:t>
        </w:r>
        <w:r>
          <w:rPr>
            <w:lang w:val="zh-CN"/>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1BC0D9"/>
    <w:multiLevelType w:val="singleLevel"/>
    <w:tmpl w:val="DD1BC0D9"/>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OTdmOGQ5MDZlMWY1YTYxNmRkNzMyZDc1OGFmODQ5ODI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C751D"/>
    <w:rsid w:val="000D0123"/>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0CE8"/>
    <w:rsid w:val="0018714B"/>
    <w:rsid w:val="0019071F"/>
    <w:rsid w:val="00191B75"/>
    <w:rsid w:val="001A149B"/>
    <w:rsid w:val="001B4EF3"/>
    <w:rsid w:val="001B5B76"/>
    <w:rsid w:val="001D42D2"/>
    <w:rsid w:val="001E0757"/>
    <w:rsid w:val="001F371B"/>
    <w:rsid w:val="001F5ED5"/>
    <w:rsid w:val="001F7873"/>
    <w:rsid w:val="001F7B5A"/>
    <w:rsid w:val="00201B2D"/>
    <w:rsid w:val="002174E4"/>
    <w:rsid w:val="00221DDC"/>
    <w:rsid w:val="00237E4E"/>
    <w:rsid w:val="00241FD4"/>
    <w:rsid w:val="00251B12"/>
    <w:rsid w:val="00296113"/>
    <w:rsid w:val="002A673A"/>
    <w:rsid w:val="002B4DAA"/>
    <w:rsid w:val="002C07BE"/>
    <w:rsid w:val="002C21B8"/>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1FD2"/>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76C17"/>
    <w:rsid w:val="00786726"/>
    <w:rsid w:val="00792F3A"/>
    <w:rsid w:val="007A225A"/>
    <w:rsid w:val="007C180B"/>
    <w:rsid w:val="007C219A"/>
    <w:rsid w:val="007C4F9B"/>
    <w:rsid w:val="007D50B5"/>
    <w:rsid w:val="007E1DA8"/>
    <w:rsid w:val="007E4BA0"/>
    <w:rsid w:val="007E4D52"/>
    <w:rsid w:val="007F0197"/>
    <w:rsid w:val="007F6C26"/>
    <w:rsid w:val="00813208"/>
    <w:rsid w:val="00822135"/>
    <w:rsid w:val="0083214F"/>
    <w:rsid w:val="008334AE"/>
    <w:rsid w:val="00836FED"/>
    <w:rsid w:val="0083724E"/>
    <w:rsid w:val="00845CD2"/>
    <w:rsid w:val="00852B0D"/>
    <w:rsid w:val="00863385"/>
    <w:rsid w:val="008641FC"/>
    <w:rsid w:val="00881692"/>
    <w:rsid w:val="00883D1A"/>
    <w:rsid w:val="00891D33"/>
    <w:rsid w:val="008934A3"/>
    <w:rsid w:val="008A25C2"/>
    <w:rsid w:val="008A6576"/>
    <w:rsid w:val="008B3CC5"/>
    <w:rsid w:val="008B52CD"/>
    <w:rsid w:val="008D42CC"/>
    <w:rsid w:val="008E4261"/>
    <w:rsid w:val="008F4662"/>
    <w:rsid w:val="00900BF9"/>
    <w:rsid w:val="00904CDD"/>
    <w:rsid w:val="00905D08"/>
    <w:rsid w:val="00912406"/>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968B6"/>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031E0"/>
    <w:rsid w:val="00D04D2D"/>
    <w:rsid w:val="00D115F5"/>
    <w:rsid w:val="00D17ABB"/>
    <w:rsid w:val="00D27003"/>
    <w:rsid w:val="00D4166E"/>
    <w:rsid w:val="00D440D6"/>
    <w:rsid w:val="00D523A3"/>
    <w:rsid w:val="00D73323"/>
    <w:rsid w:val="00D8597D"/>
    <w:rsid w:val="00D97D00"/>
    <w:rsid w:val="00DA7FF9"/>
    <w:rsid w:val="00DB3587"/>
    <w:rsid w:val="00DB4A9B"/>
    <w:rsid w:val="00DC6F06"/>
    <w:rsid w:val="00DD38EC"/>
    <w:rsid w:val="00DE0873"/>
    <w:rsid w:val="00DE666F"/>
    <w:rsid w:val="00E167C7"/>
    <w:rsid w:val="00E2482E"/>
    <w:rsid w:val="00E273A5"/>
    <w:rsid w:val="00E30780"/>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30E08"/>
    <w:rsid w:val="00F40CD8"/>
    <w:rsid w:val="00F449F1"/>
    <w:rsid w:val="00F564E7"/>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4B52C5F"/>
    <w:rsid w:val="0ACC2AB1"/>
    <w:rsid w:val="0B5D2DB9"/>
    <w:rsid w:val="176C70D1"/>
    <w:rsid w:val="192A7F26"/>
    <w:rsid w:val="1BAC13E1"/>
    <w:rsid w:val="1F9646BD"/>
    <w:rsid w:val="20D1686A"/>
    <w:rsid w:val="26E9427B"/>
    <w:rsid w:val="301461DC"/>
    <w:rsid w:val="301E6986"/>
    <w:rsid w:val="35C661CB"/>
    <w:rsid w:val="38113CFA"/>
    <w:rsid w:val="3B3D768A"/>
    <w:rsid w:val="3EB5502E"/>
    <w:rsid w:val="40BC642A"/>
    <w:rsid w:val="47A22B1F"/>
    <w:rsid w:val="4AAB163F"/>
    <w:rsid w:val="4DDC7A65"/>
    <w:rsid w:val="4FAE5247"/>
    <w:rsid w:val="56E95E04"/>
    <w:rsid w:val="5FD534DD"/>
    <w:rsid w:val="622B7D92"/>
    <w:rsid w:val="64D237AB"/>
    <w:rsid w:val="65B03F8A"/>
    <w:rsid w:val="6911640A"/>
    <w:rsid w:val="6AD53360"/>
    <w:rsid w:val="6C4B696A"/>
    <w:rsid w:val="6E8A175A"/>
    <w:rsid w:val="6EF74EF8"/>
    <w:rsid w:val="71C40D5A"/>
    <w:rsid w:val="73E90159"/>
    <w:rsid w:val="75F53987"/>
    <w:rsid w:val="766A5E7A"/>
    <w:rsid w:val="7A747B8B"/>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7"/>
    <customShpInfo spid="_x0000_s409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4335</Words>
  <Characters>4680</Characters>
  <Lines>32</Lines>
  <Paragraphs>9</Paragraphs>
  <TotalTime>4</TotalTime>
  <ScaleCrop>false</ScaleCrop>
  <LinksUpToDate>false</LinksUpToDate>
  <CharactersWithSpaces>4689</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2021-02-19T03:58:00Z</dcterms:created>
  <dc:creator>guest</dc:creator>
  <cp:lastModifiedBy>Administrator</cp:lastModifiedBy>
  <cp:lastPrinted>2021-02-23T10:01:00Z</cp:lastPrinted>
  <dcterms:modified xsi:type="dcterms:W3CDTF">2022-09-06T09:54:18Z</dcterms:modified>
  <dc:title>河北省委办公厅2021年部门预算信息公开情况说明</dc:title>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1482141D731B4A9691D18F6EFFD7FA09</vt:lpwstr>
  </property>
</Properties>
</file>