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w:t>
      </w:r>
      <w:r>
        <w:rPr>
          <w:rFonts w:hint="eastAsia" w:ascii="Times New Roman" w:hAnsi="Times New Roman" w:eastAsia="方正小标宋_GBK" w:cs="方正小标宋_GBK"/>
          <w:sz w:val="44"/>
          <w:szCs w:val="44"/>
          <w:lang w:eastAsia="zh-CN"/>
        </w:rPr>
        <w:t>科技和工业信息化局</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lang w:val="en-US" w:eastAsia="zh-CN"/>
        </w:rPr>
        <w:t>21</w:t>
      </w:r>
      <w:r>
        <w:rPr>
          <w:rFonts w:hint="eastAsia" w:ascii="Times New Roman" w:hAnsi="Times New Roman" w:eastAsia="方正小标宋_GBK" w:cs="方正小标宋_GBK"/>
          <w:sz w:val="44"/>
          <w:szCs w:val="44"/>
        </w:rPr>
        <w:t>年部门预算信息公开情况说明</w:t>
      </w: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按照《预算法》、《地方预决算公开操作规程》和《河北省省级预算公开办法》规定，现将隆尧县</w:t>
      </w:r>
      <w:r>
        <w:rPr>
          <w:rFonts w:hint="eastAsia" w:ascii="仿宋" w:hAnsi="仿宋" w:eastAsia="仿宋" w:cs="仿宋"/>
          <w:sz w:val="32"/>
          <w:szCs w:val="32"/>
          <w:lang w:eastAsia="zh-CN"/>
        </w:rPr>
        <w:t>科学和工业信息化局</w:t>
      </w:r>
      <w:r>
        <w:rPr>
          <w:rFonts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年部门预算公开如下：</w:t>
      </w:r>
    </w:p>
    <w:p>
      <w:pPr>
        <w:ind w:firstLine="640" w:firstLineChars="20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600" w:lineRule="exact"/>
        <w:ind w:firstLine="643" w:firstLineChars="200"/>
        <w:rPr>
          <w:rFonts w:ascii="仿宋" w:hAnsi="仿宋" w:eastAsia="仿宋" w:cs="Times New Roman"/>
          <w:b/>
          <w:bCs/>
          <w:sz w:val="32"/>
          <w:szCs w:val="32"/>
        </w:rPr>
      </w:pPr>
      <w:r>
        <w:rPr>
          <w:rFonts w:hint="eastAsia" w:ascii="仿宋" w:hAnsi="仿宋" w:eastAsia="仿宋" w:cs="仿宋"/>
          <w:b/>
          <w:bCs/>
          <w:sz w:val="32"/>
          <w:szCs w:val="32"/>
        </w:rPr>
        <w:t>部门职责：</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（一）贯彻执行国家、省、市关于科技发展和工业信息化工作的方针政策和法律法规，拟订全县科技和工业信息化的政策措施、管理办法及技术规范，经县政府批准后组织实施。</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（七）负责对中小企业和民营经济促进工作进行指导、综合协调和监督检查，会同有关部门拟订促进中小企业发展和民营经济发展的相关政策和措施并组织实施，协调解决有关重大问题。</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（八）提出科技体制改革的政策和重大措施建议，推进科技体制改革，审核相关科研机构的组建和调整，优化科研机构布局。负责科技成果管理、技术市场管理、科技信息保密工作。</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（九）会同有关部门提出科技资源合理配置的重大政策和措施建议，负责本部门预算中的经费预决算及经费使用的监督管理，优化科技资源配置。</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 xml:space="preserve">（十）推进全县工业体制改革和管理创新，提高行业综合素质和核心竞争力，指导和推进中小企业转变发展方式，推动结构调整优化；指导行业质量管理工作。 </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十一）会同有关部门拟订科技人才队伍建设规划、建立外国高层次人才吸引集聚机制和重点外国专家联系服务机制，提出相关政策建议，推动高端科技创新人才队伍建设。参与相关科技评估管理和科技统计管理。</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（十二）承担盐业行业管理工作。</w:t>
      </w:r>
    </w:p>
    <w:p>
      <w:pPr>
        <w:spacing w:line="500" w:lineRule="exact"/>
        <w:ind w:firstLine="640" w:firstLineChars="200"/>
        <w:jc w:val="left"/>
        <w:rPr>
          <w:rFonts w:hint="eastAsia" w:ascii="Times New Roman" w:hAnsi="方正仿宋_GBK" w:eastAsia="仿宋" w:cs="方正仿宋_GBK"/>
          <w:sz w:val="32"/>
        </w:rPr>
      </w:pPr>
      <w:r>
        <w:rPr>
          <w:rFonts w:hint="eastAsia" w:ascii="Times New Roman" w:hAnsi="方正仿宋_GBK" w:eastAsia="仿宋" w:cs="方正仿宋_GBK"/>
          <w:sz w:val="32"/>
        </w:rPr>
        <w:t>（十三）完成县委、县政府交办的其他任务。</w:t>
      </w:r>
    </w:p>
    <w:p>
      <w:pPr>
        <w:spacing w:line="596" w:lineRule="exact"/>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tbl>
      <w:tblPr>
        <w:tblStyle w:val="7"/>
        <w:tblW w:w="13020" w:type="dxa"/>
        <w:tblInd w:w="-1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单位名称</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单位性质</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单位规格</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Times New Roman" w:hAnsi="Times New Roman" w:eastAsia="方正书宋_GBK" w:cs="方正书宋_GBK"/>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hint="eastAsia" w:ascii="仿宋_GB2312" w:hAnsi="仿宋_GB2312" w:eastAsia="仿宋_GB2312" w:cs="Times New Roman"/>
                <w:kern w:val="0"/>
                <w:sz w:val="24"/>
                <w:szCs w:val="24"/>
                <w:lang w:eastAsia="zh-CN"/>
              </w:rPr>
            </w:pPr>
            <w:r>
              <w:rPr>
                <w:rFonts w:hint="eastAsia" w:ascii="仿宋_GB2312" w:hAnsi="仿宋_GB2312" w:eastAsia="仿宋_GB2312" w:cs="仿宋_GB2312"/>
                <w:kern w:val="0"/>
                <w:sz w:val="24"/>
                <w:szCs w:val="24"/>
              </w:rPr>
              <w:t>隆尧县</w:t>
            </w:r>
            <w:r>
              <w:rPr>
                <w:rFonts w:hint="eastAsia" w:ascii="仿宋_GB2312" w:hAnsi="仿宋_GB2312" w:eastAsia="仿宋_GB2312" w:cs="仿宋_GB2312"/>
                <w:kern w:val="0"/>
                <w:sz w:val="24"/>
                <w:szCs w:val="24"/>
                <w:lang w:eastAsia="zh-CN"/>
              </w:rPr>
              <w:t>科技和工业信息化局</w:t>
            </w:r>
          </w:p>
        </w:tc>
        <w:tc>
          <w:tcPr>
            <w:tcW w:w="3543"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行政</w:t>
            </w:r>
          </w:p>
        </w:tc>
        <w:tc>
          <w:tcPr>
            <w:tcW w:w="2477"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正科级</w:t>
            </w:r>
          </w:p>
        </w:tc>
        <w:tc>
          <w:tcPr>
            <w:tcW w:w="2769" w:type="dxa"/>
          </w:tcPr>
          <w:p>
            <w:pPr>
              <w:autoSpaceDE w:val="0"/>
              <w:autoSpaceDN w:val="0"/>
              <w:adjustRightInd w:val="0"/>
              <w:jc w:val="left"/>
              <w:rPr>
                <w:rFonts w:ascii="仿宋_GB2312" w:hAnsi="仿宋_GB2312" w:eastAsia="仿宋_GB2312" w:cs="Times New Roman"/>
                <w:kern w:val="0"/>
                <w:sz w:val="24"/>
                <w:szCs w:val="24"/>
              </w:rPr>
            </w:pPr>
            <w:r>
              <w:rPr>
                <w:rFonts w:hint="eastAsia" w:ascii="仿宋_GB2312" w:hAnsi="仿宋_GB2312" w:eastAsia="仿宋_GB2312" w:cs="仿宋_GB2312"/>
                <w:kern w:val="0"/>
                <w:sz w:val="24"/>
                <w:szCs w:val="24"/>
              </w:rPr>
              <w:t>财政拨款</w:t>
            </w:r>
          </w:p>
        </w:tc>
      </w:tr>
    </w:tbl>
    <w:p>
      <w:pPr>
        <w:ind w:firstLine="640" w:firstLineChars="20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部门预算的编制实行综合预算管理，即全部收入和支出都反映</w:t>
      </w:r>
      <w:r>
        <w:rPr>
          <w:rFonts w:hint="eastAsia" w:ascii="Times New Roman" w:hAnsi="Times New Roman" w:eastAsia="仿宋" w:cs="仿宋"/>
          <w:sz w:val="32"/>
          <w:szCs w:val="32"/>
          <w:lang w:eastAsia="zh-CN"/>
        </w:rPr>
        <w:t>到</w:t>
      </w:r>
      <w:r>
        <w:rPr>
          <w:rFonts w:hint="eastAsia" w:ascii="Times New Roman" w:hAnsi="Times New Roman" w:eastAsia="仿宋" w:cs="仿宋"/>
          <w:sz w:val="32"/>
          <w:szCs w:val="32"/>
        </w:rPr>
        <w:t>预算中。隆尧县</w:t>
      </w:r>
      <w:r>
        <w:rPr>
          <w:rFonts w:hint="eastAsia" w:ascii="Times New Roman" w:hAnsi="Times New Roman" w:eastAsia="仿宋" w:cs="仿宋"/>
          <w:sz w:val="32"/>
          <w:szCs w:val="32"/>
          <w:lang w:eastAsia="zh-CN"/>
        </w:rPr>
        <w:t>科工局</w:t>
      </w:r>
      <w:r>
        <w:rPr>
          <w:rFonts w:hint="eastAsia" w:ascii="Times New Roman" w:hAnsi="Times New Roman" w:eastAsia="仿宋" w:cs="仿宋"/>
          <w:sz w:val="32"/>
          <w:szCs w:val="32"/>
        </w:rPr>
        <w:t>的收支包含在部门预算中。</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firstLineChars="200"/>
        <w:jc w:val="both"/>
        <w:rPr>
          <w:rFonts w:ascii="仿宋" w:hAnsi="仿宋" w:eastAsia="仿宋" w:cs="仿宋_GB2312"/>
          <w:sz w:val="32"/>
          <w:szCs w:val="32"/>
        </w:rPr>
      </w:pPr>
      <w:r>
        <w:rPr>
          <w:rFonts w:hint="eastAsia" w:ascii="仿宋" w:hAnsi="仿宋" w:eastAsia="仿宋" w:cs="仿宋_GB2312"/>
          <w:sz w:val="32"/>
          <w:szCs w:val="32"/>
        </w:rPr>
        <w:t>反映本部门当年全部收入。</w:t>
      </w:r>
      <w:r>
        <w:rPr>
          <w:rFonts w:ascii="仿宋" w:hAnsi="仿宋" w:eastAsia="仿宋" w:cs="仿宋_GB2312"/>
          <w:sz w:val="32"/>
          <w:szCs w:val="32"/>
        </w:rPr>
        <w:t>2021</w:t>
      </w:r>
      <w:r>
        <w:rPr>
          <w:rFonts w:hint="eastAsia" w:ascii="仿宋" w:hAnsi="仿宋" w:eastAsia="仿宋" w:cs="仿宋_GB2312"/>
          <w:sz w:val="32"/>
          <w:szCs w:val="32"/>
        </w:rPr>
        <w:t>年预算收入</w:t>
      </w:r>
      <w:r>
        <w:rPr>
          <w:rFonts w:ascii="仿宋" w:hAnsi="仿宋" w:eastAsia="仿宋" w:cs="仿宋_GB2312"/>
          <w:sz w:val="32"/>
          <w:szCs w:val="32"/>
        </w:rPr>
        <w:t>265</w:t>
      </w:r>
      <w:r>
        <w:rPr>
          <w:rFonts w:hint="eastAsia" w:ascii="仿宋" w:hAnsi="仿宋" w:eastAsia="仿宋" w:cs="仿宋_GB2312"/>
          <w:sz w:val="32"/>
          <w:szCs w:val="32"/>
          <w:lang w:val="en-US" w:eastAsia="zh-CN"/>
        </w:rPr>
        <w:t>31.44</w:t>
      </w:r>
      <w:r>
        <w:rPr>
          <w:rFonts w:hint="eastAsia" w:ascii="仿宋" w:hAnsi="仿宋" w:eastAsia="仿宋" w:cs="仿宋_GB2312"/>
          <w:sz w:val="32"/>
          <w:szCs w:val="32"/>
        </w:rPr>
        <w:t>万元，其中：一般公共预算收入</w:t>
      </w:r>
      <w:r>
        <w:rPr>
          <w:rFonts w:ascii="仿宋" w:hAnsi="仿宋" w:eastAsia="仿宋" w:cs="仿宋_GB2312"/>
          <w:sz w:val="32"/>
          <w:szCs w:val="32"/>
        </w:rPr>
        <w:t>531.44</w:t>
      </w:r>
      <w:r>
        <w:rPr>
          <w:rFonts w:hint="eastAsia" w:ascii="仿宋" w:hAnsi="仿宋" w:eastAsia="仿宋" w:cs="仿宋_GB2312"/>
          <w:sz w:val="32"/>
          <w:szCs w:val="32"/>
        </w:rPr>
        <w:t>万元，基金预算收入</w:t>
      </w:r>
      <w:r>
        <w:rPr>
          <w:rFonts w:ascii="仿宋" w:hAnsi="仿宋" w:eastAsia="仿宋" w:cs="仿宋_GB2312"/>
          <w:sz w:val="32"/>
          <w:szCs w:val="32"/>
        </w:rPr>
        <w:t>26</w:t>
      </w:r>
      <w:r>
        <w:rPr>
          <w:rFonts w:hint="eastAsia" w:ascii="仿宋" w:hAnsi="仿宋" w:eastAsia="仿宋" w:cs="仿宋_GB2312"/>
          <w:sz w:val="32"/>
          <w:szCs w:val="32"/>
          <w:lang w:val="en-US" w:eastAsia="zh-CN"/>
        </w:rPr>
        <w:t>000</w:t>
      </w:r>
      <w:r>
        <w:rPr>
          <w:rFonts w:hint="eastAsia" w:ascii="仿宋" w:hAnsi="仿宋" w:eastAsia="仿宋" w:cs="仿宋_GB2312"/>
          <w:sz w:val="32"/>
          <w:szCs w:val="32"/>
        </w:rPr>
        <w:t>万元，财政专户核拨收入</w:t>
      </w:r>
      <w:r>
        <w:rPr>
          <w:rFonts w:ascii="仿宋" w:hAnsi="仿宋" w:eastAsia="仿宋" w:cs="仿宋_GB2312"/>
          <w:sz w:val="32"/>
          <w:szCs w:val="32"/>
        </w:rPr>
        <w:t>0</w:t>
      </w:r>
      <w:r>
        <w:rPr>
          <w:rFonts w:hint="eastAsia" w:ascii="仿宋" w:hAnsi="仿宋" w:eastAsia="仿宋" w:cs="仿宋_GB2312"/>
          <w:sz w:val="32"/>
          <w:szCs w:val="32"/>
        </w:rPr>
        <w:t>万元，其他来源收入（单位资金）</w:t>
      </w:r>
      <w:r>
        <w:rPr>
          <w:rFonts w:ascii="仿宋" w:hAnsi="仿宋" w:eastAsia="仿宋" w:cs="仿宋_GB2312"/>
          <w:sz w:val="32"/>
          <w:szCs w:val="32"/>
        </w:rPr>
        <w:t>0</w:t>
      </w:r>
      <w:r>
        <w:rPr>
          <w:rFonts w:hint="eastAsia" w:ascii="仿宋" w:hAnsi="仿宋" w:eastAsia="仿宋" w:cs="仿宋_GB2312"/>
          <w:sz w:val="32"/>
          <w:szCs w:val="32"/>
        </w:rPr>
        <w:t>万元，上年结转</w:t>
      </w:r>
      <w:r>
        <w:rPr>
          <w:rFonts w:ascii="仿宋" w:hAnsi="仿宋" w:eastAsia="仿宋" w:cs="仿宋_GB2312"/>
          <w:sz w:val="32"/>
          <w:szCs w:val="32"/>
        </w:rPr>
        <w:t>55.83</w:t>
      </w:r>
      <w:r>
        <w:rPr>
          <w:rFonts w:hint="eastAsia" w:ascii="仿宋" w:hAnsi="仿宋" w:eastAsia="仿宋" w:cs="仿宋_GB2312"/>
          <w:sz w:val="32"/>
          <w:szCs w:val="32"/>
        </w:rPr>
        <w:t>万元。</w:t>
      </w:r>
    </w:p>
    <w:p>
      <w:pPr>
        <w:numPr>
          <w:ilvl w:val="0"/>
          <w:numId w:val="1"/>
        </w:numPr>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支出说明</w:t>
      </w:r>
    </w:p>
    <w:p>
      <w:pPr>
        <w:ind w:firstLine="640" w:firstLineChars="200"/>
        <w:jc w:val="both"/>
        <w:rPr>
          <w:rFonts w:hint="eastAsia" w:ascii="Times New Roman" w:hAnsi="Times New Roman" w:eastAsia="仿宋" w:cs="仿宋"/>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收支预算总表支出栏、基本支出表、项目支出表按经济分类和支出功能分类科目编制，反映隆尧县科工局年度部门预算中支出预算的总体情况。2021年预算支出26531.44万元，其中基本支出</w:t>
      </w:r>
      <w:r>
        <w:rPr>
          <w:rFonts w:ascii="仿宋" w:hAnsi="仿宋" w:eastAsia="仿宋" w:cs="仿宋_GB2312"/>
          <w:sz w:val="32"/>
          <w:szCs w:val="32"/>
        </w:rPr>
        <w:t>178.74</w:t>
      </w:r>
      <w:r>
        <w:rPr>
          <w:rFonts w:hint="eastAsia" w:ascii="仿宋" w:hAnsi="仿宋" w:eastAsia="仿宋" w:cs="仿宋_GB2312"/>
          <w:sz w:val="32"/>
          <w:szCs w:val="32"/>
        </w:rPr>
        <w:t>万元，包括人员经费</w:t>
      </w:r>
      <w:r>
        <w:rPr>
          <w:rFonts w:ascii="仿宋" w:hAnsi="仿宋" w:eastAsia="仿宋" w:cs="仿宋_GB2312"/>
          <w:sz w:val="32"/>
          <w:szCs w:val="32"/>
        </w:rPr>
        <w:t>159.66</w:t>
      </w:r>
      <w:r>
        <w:rPr>
          <w:rFonts w:hint="eastAsia" w:ascii="仿宋" w:hAnsi="仿宋" w:eastAsia="仿宋" w:cs="仿宋_GB2312"/>
          <w:sz w:val="32"/>
          <w:szCs w:val="32"/>
        </w:rPr>
        <w:t>万元和日常公用经费</w:t>
      </w:r>
      <w:r>
        <w:rPr>
          <w:rFonts w:ascii="仿宋" w:hAnsi="仿宋" w:eastAsia="仿宋" w:cs="仿宋_GB2312"/>
          <w:sz w:val="32"/>
          <w:szCs w:val="32"/>
        </w:rPr>
        <w:t>19.08</w:t>
      </w:r>
      <w:r>
        <w:rPr>
          <w:rFonts w:hint="eastAsia" w:ascii="仿宋" w:hAnsi="仿宋" w:eastAsia="仿宋" w:cs="仿宋_GB2312"/>
          <w:sz w:val="32"/>
          <w:szCs w:val="32"/>
        </w:rPr>
        <w:t>万元；项目支出</w:t>
      </w:r>
      <w:r>
        <w:rPr>
          <w:rFonts w:ascii="仿宋" w:hAnsi="仿宋" w:eastAsia="仿宋" w:cs="仿宋_GB2312"/>
          <w:sz w:val="32"/>
          <w:szCs w:val="32"/>
        </w:rPr>
        <w:t>26352.7</w:t>
      </w:r>
      <w:r>
        <w:rPr>
          <w:rFonts w:hint="eastAsia" w:ascii="仿宋" w:hAnsi="仿宋" w:eastAsia="仿宋" w:cs="仿宋_GB2312"/>
          <w:sz w:val="32"/>
          <w:szCs w:val="32"/>
        </w:rPr>
        <w:t>万元，主要为对企业补助。</w:t>
      </w:r>
    </w:p>
    <w:p>
      <w:pPr>
        <w:ind w:firstLine="640" w:firstLineChars="200"/>
        <w:jc w:val="both"/>
        <w:rPr>
          <w:rFonts w:ascii="仿宋" w:hAnsi="仿宋" w:eastAsia="仿宋" w:cs="仿宋_GB2312"/>
          <w:sz w:val="32"/>
          <w:szCs w:val="32"/>
        </w:rPr>
      </w:pPr>
      <w:r>
        <w:rPr>
          <w:rFonts w:ascii="仿宋" w:hAnsi="仿宋" w:eastAsia="仿宋" w:cs="仿宋_GB2312"/>
          <w:sz w:val="32"/>
          <w:szCs w:val="32"/>
        </w:rPr>
        <w:t>3</w:t>
      </w:r>
      <w:r>
        <w:rPr>
          <w:rFonts w:hint="eastAsia" w:ascii="仿宋" w:hAnsi="仿宋" w:eastAsia="仿宋" w:cs="仿宋_GB2312"/>
          <w:sz w:val="32"/>
          <w:szCs w:val="32"/>
        </w:rPr>
        <w:t>、比上年增减情况</w:t>
      </w:r>
    </w:p>
    <w:p>
      <w:pPr>
        <w:ind w:firstLine="640" w:firstLineChars="200"/>
        <w:jc w:val="both"/>
        <w:rPr>
          <w:rFonts w:ascii="仿宋" w:hAnsi="仿宋" w:eastAsia="仿宋" w:cs="仿宋_GB2312"/>
          <w:sz w:val="32"/>
          <w:szCs w:val="32"/>
        </w:rPr>
      </w:pPr>
      <w:r>
        <w:rPr>
          <w:rFonts w:ascii="仿宋" w:hAnsi="仿宋" w:eastAsia="仿宋" w:cs="仿宋_GB2312"/>
          <w:sz w:val="32"/>
          <w:szCs w:val="32"/>
        </w:rPr>
        <w:t>2021</w:t>
      </w:r>
      <w:r>
        <w:rPr>
          <w:rFonts w:hint="eastAsia" w:ascii="仿宋" w:hAnsi="仿宋" w:eastAsia="仿宋" w:cs="仿宋_GB2312"/>
          <w:sz w:val="32"/>
          <w:szCs w:val="32"/>
        </w:rPr>
        <w:t>年预算收支安排</w:t>
      </w:r>
      <w:r>
        <w:rPr>
          <w:rFonts w:ascii="仿宋" w:hAnsi="仿宋" w:eastAsia="仿宋" w:cs="仿宋_GB2312"/>
          <w:sz w:val="32"/>
          <w:szCs w:val="32"/>
        </w:rPr>
        <w:t>26531.44</w:t>
      </w:r>
      <w:r>
        <w:rPr>
          <w:rFonts w:hint="eastAsia" w:ascii="仿宋" w:hAnsi="仿宋" w:eastAsia="仿宋" w:cs="仿宋_GB2312"/>
          <w:sz w:val="32"/>
          <w:szCs w:val="32"/>
        </w:rPr>
        <w:t>万元，较</w:t>
      </w:r>
      <w:r>
        <w:rPr>
          <w:rFonts w:ascii="仿宋" w:hAnsi="仿宋" w:eastAsia="仿宋" w:cs="仿宋_GB2312"/>
          <w:sz w:val="32"/>
          <w:szCs w:val="32"/>
        </w:rPr>
        <w:t>2020</w:t>
      </w:r>
      <w:r>
        <w:rPr>
          <w:rFonts w:hint="eastAsia" w:ascii="仿宋" w:hAnsi="仿宋" w:eastAsia="仿宋" w:cs="仿宋_GB2312"/>
          <w:sz w:val="32"/>
          <w:szCs w:val="32"/>
        </w:rPr>
        <w:t>年年初预算增加</w:t>
      </w:r>
      <w:r>
        <w:rPr>
          <w:rFonts w:ascii="仿宋" w:hAnsi="仿宋" w:eastAsia="仿宋" w:cs="仿宋_GB2312"/>
          <w:sz w:val="32"/>
          <w:szCs w:val="32"/>
        </w:rPr>
        <w:t>20</w:t>
      </w:r>
      <w:r>
        <w:rPr>
          <w:rFonts w:hint="eastAsia" w:ascii="仿宋" w:hAnsi="仿宋" w:eastAsia="仿宋" w:cs="仿宋_GB2312"/>
          <w:sz w:val="32"/>
          <w:szCs w:val="32"/>
          <w:lang w:val="en-US" w:eastAsia="zh-CN"/>
        </w:rPr>
        <w:t>0</w:t>
      </w:r>
      <w:r>
        <w:rPr>
          <w:rFonts w:ascii="仿宋" w:hAnsi="仿宋" w:eastAsia="仿宋" w:cs="仿宋_GB2312"/>
          <w:sz w:val="32"/>
          <w:szCs w:val="32"/>
        </w:rPr>
        <w:t>54.27</w:t>
      </w:r>
      <w:r>
        <w:rPr>
          <w:rFonts w:hint="eastAsia" w:ascii="仿宋" w:hAnsi="仿宋" w:eastAsia="仿宋" w:cs="仿宋_GB2312"/>
          <w:sz w:val="32"/>
          <w:szCs w:val="32"/>
        </w:rPr>
        <w:t>万元，其中：基本支出减少</w:t>
      </w:r>
      <w:r>
        <w:rPr>
          <w:rFonts w:hint="eastAsia" w:ascii="仿宋" w:hAnsi="仿宋" w:eastAsia="仿宋" w:cs="仿宋_GB2312"/>
          <w:sz w:val="32"/>
          <w:szCs w:val="32"/>
          <w:lang w:val="en-US" w:eastAsia="zh-CN"/>
        </w:rPr>
        <w:t>17.93</w:t>
      </w:r>
      <w:r>
        <w:rPr>
          <w:rFonts w:hint="eastAsia" w:ascii="仿宋" w:hAnsi="仿宋" w:eastAsia="仿宋" w:cs="仿宋_GB2312"/>
          <w:sz w:val="32"/>
          <w:szCs w:val="32"/>
        </w:rPr>
        <w:t>万元，主要为减少人员经费支出；项目支出增加</w:t>
      </w:r>
      <w:r>
        <w:rPr>
          <w:rFonts w:ascii="仿宋" w:hAnsi="仿宋" w:eastAsia="仿宋" w:cs="仿宋_GB2312"/>
          <w:sz w:val="32"/>
          <w:szCs w:val="32"/>
        </w:rPr>
        <w:t>20072.2</w:t>
      </w:r>
      <w:r>
        <w:rPr>
          <w:rFonts w:hint="eastAsia" w:ascii="仿宋" w:hAnsi="仿宋" w:eastAsia="仿宋" w:cs="仿宋_GB2312"/>
          <w:sz w:val="32"/>
          <w:szCs w:val="32"/>
        </w:rPr>
        <w:t>万元，主要为项目政府性基金。</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hint="eastAsia" w:ascii="仿宋" w:hAnsi="仿宋" w:eastAsia="仿宋" w:cs="仿宋_GB2312"/>
          <w:sz w:val="32"/>
          <w:szCs w:val="32"/>
        </w:rPr>
      </w:pPr>
      <w:r>
        <w:rPr>
          <w:rFonts w:ascii="仿宋" w:hAnsi="仿宋" w:eastAsia="仿宋" w:cs="仿宋_GB2312"/>
          <w:sz w:val="32"/>
          <w:szCs w:val="32"/>
        </w:rPr>
        <w:t>2021</w:t>
      </w:r>
      <w:r>
        <w:rPr>
          <w:rFonts w:hint="eastAsia" w:ascii="仿宋" w:hAnsi="仿宋" w:eastAsia="仿宋" w:cs="仿宋_GB2312"/>
          <w:sz w:val="32"/>
          <w:szCs w:val="32"/>
        </w:rPr>
        <w:t>年，我局机关运行经费共计安排</w:t>
      </w:r>
      <w:r>
        <w:rPr>
          <w:rFonts w:ascii="仿宋" w:hAnsi="仿宋" w:eastAsia="仿宋" w:cs="仿宋_GB2312"/>
          <w:sz w:val="32"/>
          <w:szCs w:val="32"/>
        </w:rPr>
        <w:t>191.44</w:t>
      </w:r>
      <w:r>
        <w:rPr>
          <w:rFonts w:hint="eastAsia" w:ascii="仿宋" w:hAnsi="仿宋" w:eastAsia="仿宋" w:cs="仿宋_GB2312"/>
          <w:sz w:val="32"/>
          <w:szCs w:val="32"/>
        </w:rPr>
        <w:t>万元，主要用于日常维修、办公用房水电费、办公用房取暖费等日常运行支出。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both"/>
        <w:rPr>
          <w:rFonts w:ascii="仿宋" w:hAnsi="仿宋" w:eastAsia="仿宋" w:cs="仿宋_GB2312"/>
          <w:sz w:val="32"/>
          <w:szCs w:val="32"/>
        </w:rPr>
      </w:pPr>
      <w:r>
        <w:rPr>
          <w:rFonts w:ascii="仿宋" w:hAnsi="仿宋" w:eastAsia="仿宋" w:cs="仿宋_GB2312"/>
          <w:sz w:val="32"/>
          <w:szCs w:val="32"/>
        </w:rPr>
        <w:t>2021</w:t>
      </w:r>
      <w:r>
        <w:rPr>
          <w:rFonts w:hint="eastAsia" w:ascii="仿宋" w:hAnsi="仿宋" w:eastAsia="仿宋" w:cs="仿宋_GB2312"/>
          <w:sz w:val="32"/>
          <w:szCs w:val="32"/>
        </w:rPr>
        <w:t>年，我</w:t>
      </w:r>
      <w:r>
        <w:rPr>
          <w:rFonts w:hint="eastAsia" w:ascii="仿宋" w:hAnsi="仿宋" w:eastAsia="仿宋" w:cs="仿宋_GB2312"/>
          <w:sz w:val="32"/>
          <w:szCs w:val="32"/>
          <w:lang w:eastAsia="zh-CN"/>
        </w:rPr>
        <w:t>局</w:t>
      </w:r>
      <w:r>
        <w:rPr>
          <w:rFonts w:hint="eastAsia" w:ascii="仿宋" w:hAnsi="仿宋" w:eastAsia="仿宋" w:cs="仿宋_GB2312"/>
          <w:sz w:val="32"/>
          <w:szCs w:val="32"/>
        </w:rPr>
        <w:t>财政拨款“三公”经费预算安排</w:t>
      </w:r>
      <w:r>
        <w:rPr>
          <w:rFonts w:ascii="仿宋" w:hAnsi="仿宋" w:eastAsia="仿宋" w:cs="仿宋_GB2312"/>
          <w:sz w:val="32"/>
          <w:szCs w:val="32"/>
        </w:rPr>
        <w:t>0.87</w:t>
      </w:r>
      <w:r>
        <w:rPr>
          <w:rFonts w:hint="eastAsia" w:ascii="仿宋" w:hAnsi="仿宋" w:eastAsia="仿宋" w:cs="仿宋_GB2312"/>
          <w:sz w:val="32"/>
          <w:szCs w:val="32"/>
        </w:rPr>
        <w:t>万元，其中因公出国（境）费</w:t>
      </w:r>
      <w:r>
        <w:rPr>
          <w:rFonts w:ascii="仿宋" w:hAnsi="仿宋" w:eastAsia="仿宋" w:cs="仿宋_GB2312"/>
          <w:sz w:val="32"/>
          <w:szCs w:val="32"/>
        </w:rPr>
        <w:t>0</w:t>
      </w:r>
      <w:r>
        <w:rPr>
          <w:rFonts w:hint="eastAsia" w:ascii="仿宋" w:hAnsi="仿宋" w:eastAsia="仿宋" w:cs="仿宋_GB2312"/>
          <w:sz w:val="32"/>
          <w:szCs w:val="32"/>
        </w:rPr>
        <w:t>万元；公务用车购置及运维费</w:t>
      </w:r>
      <w:r>
        <w:rPr>
          <w:rFonts w:ascii="仿宋" w:hAnsi="仿宋" w:eastAsia="仿宋" w:cs="仿宋_GB2312"/>
          <w:sz w:val="32"/>
          <w:szCs w:val="32"/>
        </w:rPr>
        <w:t>0</w:t>
      </w:r>
      <w:r>
        <w:rPr>
          <w:rFonts w:hint="eastAsia" w:ascii="仿宋" w:hAnsi="仿宋" w:eastAsia="仿宋" w:cs="仿宋_GB2312"/>
          <w:sz w:val="32"/>
          <w:szCs w:val="32"/>
        </w:rPr>
        <w:t>万元（其中：公务用车购置费0万元，公务用车运行维护费</w:t>
      </w:r>
      <w:r>
        <w:rPr>
          <w:rFonts w:hint="eastAsia" w:ascii="仿宋" w:hAnsi="仿宋" w:eastAsia="仿宋" w:cs="仿宋_GB2312"/>
          <w:sz w:val="32"/>
          <w:szCs w:val="32"/>
          <w:lang w:val="en-US" w:eastAsia="zh-CN"/>
        </w:rPr>
        <w:t>0</w:t>
      </w:r>
      <w:r>
        <w:rPr>
          <w:rFonts w:hint="eastAsia" w:ascii="仿宋" w:hAnsi="仿宋" w:eastAsia="仿宋" w:cs="仿宋_GB2312"/>
          <w:sz w:val="32"/>
          <w:szCs w:val="32"/>
        </w:rPr>
        <w:t>万元)；公务接待费</w:t>
      </w:r>
      <w:r>
        <w:rPr>
          <w:rFonts w:ascii="仿宋" w:hAnsi="仿宋" w:eastAsia="仿宋" w:cs="仿宋_GB2312"/>
          <w:sz w:val="32"/>
          <w:szCs w:val="32"/>
        </w:rPr>
        <w:t>0.87</w:t>
      </w:r>
      <w:r>
        <w:rPr>
          <w:rFonts w:hint="eastAsia" w:ascii="仿宋" w:hAnsi="仿宋" w:eastAsia="仿宋" w:cs="仿宋_GB2312"/>
          <w:sz w:val="32"/>
          <w:szCs w:val="32"/>
        </w:rPr>
        <w:t>万元</w:t>
      </w:r>
      <w:r>
        <w:rPr>
          <w:rFonts w:hint="eastAsia" w:ascii="仿宋" w:hAnsi="仿宋" w:eastAsia="仿宋" w:cs="仿宋_GB2312"/>
          <w:sz w:val="32"/>
          <w:szCs w:val="32"/>
          <w:lang w:val="en-US" w:eastAsia="zh-CN"/>
        </w:rPr>
        <w:t>,</w:t>
      </w:r>
      <w:r>
        <w:rPr>
          <w:rFonts w:hint="eastAsia" w:ascii="仿宋" w:hAnsi="仿宋" w:eastAsia="仿宋" w:cs="仿宋_GB2312"/>
          <w:sz w:val="32"/>
          <w:szCs w:val="32"/>
        </w:rPr>
        <w:t>与</w:t>
      </w:r>
      <w:r>
        <w:rPr>
          <w:rFonts w:ascii="仿宋" w:hAnsi="仿宋" w:eastAsia="仿宋" w:cs="仿宋_GB2312"/>
          <w:sz w:val="32"/>
          <w:szCs w:val="32"/>
        </w:rPr>
        <w:t>2020</w:t>
      </w:r>
      <w:r>
        <w:rPr>
          <w:rFonts w:hint="eastAsia" w:ascii="仿宋" w:hAnsi="仿宋" w:eastAsia="仿宋" w:cs="仿宋_GB2312"/>
          <w:sz w:val="32"/>
          <w:szCs w:val="32"/>
        </w:rPr>
        <w:t>年保持一致</w:t>
      </w:r>
      <w:r>
        <w:rPr>
          <w:rFonts w:hint="eastAsia" w:ascii="仿宋" w:hAnsi="仿宋" w:eastAsia="仿宋" w:cs="仿宋_GB2312"/>
          <w:sz w:val="32"/>
          <w:szCs w:val="32"/>
          <w:lang w:val="en-US" w:eastAsia="zh-CN"/>
        </w:rPr>
        <w:t>,无增减变动</w:t>
      </w:r>
      <w:r>
        <w:rPr>
          <w:rFonts w:hint="eastAsia" w:ascii="仿宋" w:hAnsi="仿宋" w:eastAsia="仿宋" w:cs="仿宋_GB2312"/>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spacing w:line="500" w:lineRule="exact"/>
        <w:ind w:firstLine="643" w:firstLineChars="200"/>
        <w:rPr>
          <w:rFonts w:ascii="Times New Roman" w:hAnsi="Times New Roman" w:eastAsia="仿宋" w:cs="Times New Roman"/>
          <w:b/>
          <w:bCs/>
          <w:sz w:val="32"/>
          <w:szCs w:val="32"/>
        </w:rPr>
      </w:pPr>
      <w:bookmarkStart w:id="0" w:name="_Toc471398463"/>
      <w:r>
        <w:rPr>
          <w:rFonts w:hint="eastAsia" w:ascii="Times New Roman" w:hAnsi="Times New Roman" w:eastAsia="仿宋" w:cs="仿宋"/>
          <w:b/>
          <w:bCs/>
          <w:sz w:val="32"/>
          <w:szCs w:val="32"/>
        </w:rPr>
        <w:t>总体绩效目标：</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rPr>
        <w:t>在县委县政府的正确领导下，在上级科技和工信及有关部门的指导帮助下，今年以来，我们坚持以习近平新时代中国特色社会主义思想为指导，全面贯彻落实国家、省、市有关政策和县委、县政府安排部署，较好地完成了全年工作任务，为全面建设经济强县、美丽隆尧做出了应有贡献。我部门的总体绩效目标如下：</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rPr>
        <w:t>（一）抓好高新技术企业和科技型中小企业建设。力争新增高新技术企业</w:t>
      </w:r>
      <w:r>
        <w:rPr>
          <w:rFonts w:ascii="仿宋" w:hAnsi="仿宋" w:eastAsia="仿宋" w:cs="仿宋_GB2312"/>
          <w:sz w:val="32"/>
        </w:rPr>
        <w:t>5</w:t>
      </w:r>
      <w:r>
        <w:rPr>
          <w:rFonts w:hint="eastAsia" w:ascii="仿宋" w:hAnsi="仿宋" w:eastAsia="仿宋" w:cs="仿宋_GB2312"/>
          <w:sz w:val="32"/>
        </w:rPr>
        <w:t>家，科技型中小企业</w:t>
      </w:r>
      <w:r>
        <w:rPr>
          <w:rFonts w:ascii="仿宋" w:hAnsi="仿宋" w:eastAsia="仿宋" w:cs="仿宋_GB2312"/>
          <w:sz w:val="32"/>
        </w:rPr>
        <w:t>20</w:t>
      </w:r>
      <w:r>
        <w:rPr>
          <w:rFonts w:hint="eastAsia" w:ascii="仿宋" w:hAnsi="仿宋" w:eastAsia="仿宋" w:cs="仿宋_GB2312"/>
          <w:sz w:val="32"/>
        </w:rPr>
        <w:t>家以上。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rPr>
        <w:t>（二）抓好科技创业创新平台建设。新增</w:t>
      </w:r>
      <w:r>
        <w:rPr>
          <w:rFonts w:ascii="仿宋" w:hAnsi="仿宋" w:eastAsia="仿宋" w:cs="仿宋_GB2312"/>
          <w:sz w:val="32"/>
        </w:rPr>
        <w:t>3000</w:t>
      </w:r>
      <w:r>
        <w:rPr>
          <w:rFonts w:hint="eastAsia" w:ascii="仿宋" w:hAnsi="仿宋" w:eastAsia="仿宋" w:cs="仿宋_GB2312"/>
          <w:sz w:val="32"/>
        </w:rPr>
        <w:t>平米以上众创空间</w:t>
      </w:r>
      <w:r>
        <w:rPr>
          <w:rFonts w:ascii="仿宋" w:hAnsi="仿宋" w:eastAsia="仿宋" w:cs="仿宋_GB2312"/>
          <w:sz w:val="32"/>
        </w:rPr>
        <w:t>2</w:t>
      </w:r>
      <w:r>
        <w:rPr>
          <w:rFonts w:hint="eastAsia" w:ascii="仿宋" w:hAnsi="仿宋" w:eastAsia="仿宋" w:cs="仿宋_GB2312"/>
          <w:sz w:val="32"/>
        </w:rPr>
        <w:t>家以上；小微企业创新创业基地一个。</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rPr>
        <w:t>（三）继续开展“亩均论英雄”改革。亩均税收增长</w:t>
      </w:r>
      <w:r>
        <w:rPr>
          <w:rFonts w:ascii="仿宋" w:hAnsi="仿宋" w:eastAsia="仿宋" w:cs="仿宋_GB2312"/>
          <w:sz w:val="32"/>
        </w:rPr>
        <w:t>15%</w:t>
      </w:r>
      <w:r>
        <w:rPr>
          <w:rFonts w:hint="eastAsia" w:ascii="仿宋" w:hAnsi="仿宋" w:eastAsia="仿宋" w:cs="仿宋_GB2312"/>
          <w:sz w:val="32"/>
        </w:rPr>
        <w:t>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shd w:val="clear" w:color="auto" w:fill="FFFFFF"/>
        </w:rPr>
      </w:pPr>
      <w:r>
        <w:rPr>
          <w:rFonts w:hint="eastAsia" w:ascii="仿宋" w:hAnsi="仿宋" w:eastAsia="仿宋" w:cs="仿宋_GB2312"/>
          <w:sz w:val="32"/>
        </w:rPr>
        <w:t>（四）扶持优势行业“两化融合”“企业上云”，</w:t>
      </w:r>
      <w:r>
        <w:rPr>
          <w:rFonts w:hint="eastAsia" w:ascii="仿宋" w:hAnsi="仿宋" w:eastAsia="仿宋" w:cs="仿宋_GB2312"/>
          <w:sz w:val="32"/>
          <w:shd w:val="clear" w:color="auto" w:fill="FFFFFF"/>
        </w:rPr>
        <w:t>以信息化带动工业化、以工业化促进信息化，走新型工业化道路，发展“制造业</w:t>
      </w:r>
      <w:r>
        <w:rPr>
          <w:rFonts w:ascii="仿宋" w:hAnsi="仿宋" w:eastAsia="仿宋" w:cs="仿宋_GB2312"/>
          <w:sz w:val="32"/>
          <w:shd w:val="clear" w:color="auto" w:fill="FFFFFF"/>
        </w:rPr>
        <w:t>+</w:t>
      </w:r>
      <w:r>
        <w:rPr>
          <w:rFonts w:hint="eastAsia" w:ascii="仿宋" w:hAnsi="仿宋" w:eastAsia="仿宋" w:cs="仿宋_GB2312"/>
          <w:sz w:val="32"/>
          <w:shd w:val="clear" w:color="auto" w:fill="FFFFFF"/>
        </w:rPr>
        <w:t>互联网”新模式新业态，推进企业上云，努力推动技术融合、产品融合、业务融合、产业衍生融合。建立现代产业体系。规上企业实现两化融合达到</w:t>
      </w:r>
      <w:r>
        <w:rPr>
          <w:rFonts w:ascii="仿宋" w:hAnsi="仿宋" w:eastAsia="仿宋" w:cs="仿宋_GB2312"/>
          <w:sz w:val="32"/>
          <w:shd w:val="clear" w:color="auto" w:fill="FFFFFF"/>
        </w:rPr>
        <w:t>50</w:t>
      </w:r>
      <w:r>
        <w:rPr>
          <w:rFonts w:hint="eastAsia" w:ascii="仿宋" w:hAnsi="仿宋" w:eastAsia="仿宋" w:cs="仿宋_GB2312"/>
          <w:sz w:val="32"/>
          <w:shd w:val="clear" w:color="auto" w:fill="FFFFFF"/>
        </w:rPr>
        <w:t>家以上。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shd w:val="clear" w:color="auto" w:fill="FFFFFF"/>
        </w:rPr>
      </w:pPr>
      <w:r>
        <w:rPr>
          <w:rFonts w:hint="eastAsia" w:ascii="仿宋" w:hAnsi="仿宋" w:eastAsia="仿宋" w:cs="仿宋_GB2312"/>
          <w:sz w:val="32"/>
          <w:shd w:val="clear" w:color="auto" w:fill="FFFFFF"/>
        </w:rPr>
        <w:t>（</w:t>
      </w:r>
      <w:r>
        <w:rPr>
          <w:rFonts w:hint="eastAsia" w:ascii="仿宋" w:hAnsi="仿宋" w:eastAsia="仿宋" w:cs="仿宋_GB2312"/>
          <w:sz w:val="32"/>
        </w:rPr>
        <w:t>五）开展“</w:t>
      </w:r>
      <w:r>
        <w:rPr>
          <w:rFonts w:hint="eastAsia" w:ascii="仿宋" w:hAnsi="仿宋" w:eastAsia="仿宋" w:cs="仿宋_GB2312"/>
          <w:sz w:val="32"/>
          <w:shd w:val="clear" w:color="auto" w:fill="FFFFFF"/>
        </w:rPr>
        <w:t>妈妈式”服务。</w:t>
      </w:r>
      <w:r>
        <w:rPr>
          <w:rFonts w:hint="eastAsia" w:ascii="仿宋" w:hAnsi="仿宋" w:eastAsia="仿宋" w:cs="仿宋_GB2312"/>
          <w:sz w:val="32"/>
        </w:rPr>
        <w:t>引导中小企业提升管理水平、技术水平，优化产品结构，</w:t>
      </w:r>
      <w:r>
        <w:rPr>
          <w:rFonts w:hint="eastAsia" w:ascii="仿宋" w:hAnsi="仿宋" w:eastAsia="仿宋" w:cs="仿宋_GB2312"/>
          <w:sz w:val="32"/>
          <w:shd w:val="clear" w:color="auto" w:fill="FFFFFF"/>
        </w:rPr>
        <w:t>推动技术创新、管理创新、模式创新，延链、补链、强链，提升产业链现代化水平，助力企业发展。</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both"/>
        <w:rPr>
          <w:rFonts w:ascii="仿宋" w:hAnsi="仿宋" w:eastAsia="仿宋" w:cs="仿宋_GB2312"/>
          <w:sz w:val="32"/>
        </w:rPr>
      </w:pPr>
      <w:r>
        <w:rPr>
          <w:rFonts w:hint="eastAsia" w:ascii="仿宋" w:hAnsi="仿宋" w:eastAsia="仿宋" w:cs="仿宋_GB2312"/>
          <w:sz w:val="32"/>
          <w:shd w:val="clear" w:color="auto" w:fill="FFFFFF"/>
        </w:rPr>
        <w:t>（</w:t>
      </w:r>
      <w:r>
        <w:rPr>
          <w:rFonts w:hint="eastAsia" w:ascii="仿宋" w:hAnsi="仿宋" w:eastAsia="仿宋" w:cs="仿宋_GB2312"/>
          <w:sz w:val="32"/>
        </w:rPr>
        <w:t>六）加快企业技改速度。鼓励企业加快实施一批重点技术改造项目，着力提升工业品牌优势。年内实施技改项目</w:t>
      </w:r>
      <w:r>
        <w:rPr>
          <w:rFonts w:ascii="仿宋" w:hAnsi="仿宋" w:eastAsia="仿宋" w:cs="仿宋_GB2312"/>
          <w:sz w:val="32"/>
        </w:rPr>
        <w:t>10</w:t>
      </w:r>
      <w:r>
        <w:rPr>
          <w:rFonts w:hint="eastAsia" w:ascii="仿宋" w:hAnsi="仿宋" w:eastAsia="仿宋" w:cs="仿宋_GB2312"/>
          <w:sz w:val="32"/>
        </w:rPr>
        <w:t>个以上，筛选</w:t>
      </w:r>
      <w:r>
        <w:rPr>
          <w:rFonts w:ascii="仿宋" w:hAnsi="仿宋" w:eastAsia="仿宋" w:cs="仿宋_GB2312"/>
          <w:sz w:val="32"/>
        </w:rPr>
        <w:t>2-3</w:t>
      </w:r>
      <w:r>
        <w:rPr>
          <w:rFonts w:hint="eastAsia" w:ascii="仿宋" w:hAnsi="仿宋" w:eastAsia="仿宋" w:cs="仿宋_GB2312"/>
          <w:sz w:val="32"/>
        </w:rPr>
        <w:t>个项目争取上级资金支持。培育“专精特新”企业</w:t>
      </w:r>
      <w:r>
        <w:rPr>
          <w:rFonts w:ascii="仿宋" w:hAnsi="仿宋" w:eastAsia="仿宋" w:cs="仿宋_GB2312"/>
          <w:sz w:val="32"/>
        </w:rPr>
        <w:t>3</w:t>
      </w:r>
      <w:r>
        <w:rPr>
          <w:rFonts w:hint="eastAsia" w:ascii="仿宋" w:hAnsi="仿宋" w:eastAsia="仿宋" w:cs="仿宋_GB2312"/>
          <w:sz w:val="32"/>
        </w:rPr>
        <w:t>家以上。</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jc w:val="left"/>
        <w:rPr>
          <w:rFonts w:ascii="仿宋" w:hAnsi="仿宋" w:eastAsia="仿宋" w:cs="仿宋_GB2312"/>
          <w:sz w:val="32"/>
        </w:rPr>
      </w:pPr>
      <w:r>
        <w:rPr>
          <w:rFonts w:hint="eastAsia" w:ascii="仿宋" w:hAnsi="仿宋" w:eastAsia="仿宋" w:cs="仿宋_GB2312"/>
          <w:sz w:val="32"/>
        </w:rPr>
        <w:t>（七）抓好运行监测工作。进一步强化监测、调度和指导，提高工业经济运行的质量和效益，确保各项指标如期完成。</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Times New Roman" w:hAnsi="Times New Roman" w:eastAsia="仿宋" w:cs="仿宋"/>
          <w:sz w:val="32"/>
          <w:szCs w:val="32"/>
        </w:rPr>
      </w:pPr>
      <w:r>
        <w:rPr>
          <w:rFonts w:hint="eastAsia" w:ascii="仿宋" w:hAnsi="仿宋" w:eastAsia="仿宋" w:cs="仿宋_GB2312"/>
          <w:sz w:val="32"/>
        </w:rPr>
        <w:t>（八）抓好食品产业集群发展。</w:t>
      </w:r>
      <w:r>
        <w:rPr>
          <w:rFonts w:ascii="仿宋" w:hAnsi="仿宋" w:eastAsia="仿宋" w:cs="仿宋_GB2312"/>
          <w:sz w:val="32"/>
        </w:rPr>
        <w:t>2021</w:t>
      </w:r>
      <w:r>
        <w:rPr>
          <w:rFonts w:hint="eastAsia" w:ascii="仿宋" w:hAnsi="仿宋" w:eastAsia="仿宋" w:cs="仿宋_GB2312"/>
          <w:sz w:val="32"/>
        </w:rPr>
        <w:t>年，食品产业集群营业收入达到</w:t>
      </w:r>
      <w:r>
        <w:rPr>
          <w:rFonts w:ascii="仿宋" w:hAnsi="仿宋" w:eastAsia="仿宋" w:cs="仿宋_GB2312"/>
          <w:sz w:val="32"/>
        </w:rPr>
        <w:t xml:space="preserve"> 165 </w:t>
      </w:r>
      <w:r>
        <w:rPr>
          <w:rFonts w:hint="eastAsia" w:ascii="仿宋" w:hAnsi="仿宋" w:eastAsia="仿宋" w:cs="仿宋_GB2312"/>
          <w:sz w:val="32"/>
        </w:rPr>
        <w:t>亿元以上。</w:t>
      </w:r>
    </w:p>
    <w:p>
      <w:pPr>
        <w:autoSpaceDE w:val="0"/>
        <w:autoSpaceDN w:val="0"/>
        <w:adjustRightInd w:val="0"/>
        <w:ind w:left="198" w:firstLine="643" w:firstLineChars="200"/>
        <w:jc w:val="left"/>
        <w:rPr>
          <w:rFonts w:ascii="Times New Roman" w:hAnsi="Times New Roman" w:eastAsia="仿宋" w:cs="Times New Roman"/>
          <w:b/>
          <w:bCs/>
          <w:sz w:val="32"/>
          <w:szCs w:val="32"/>
        </w:rPr>
      </w:pPr>
      <w:r>
        <w:rPr>
          <w:rFonts w:hint="eastAsia" w:ascii="Times New Roman" w:hAnsi="Times New Roman" w:eastAsia="仿宋" w:cs="仿宋"/>
          <w:b/>
          <w:bCs/>
          <w:sz w:val="32"/>
          <w:szCs w:val="32"/>
        </w:rPr>
        <w:t>职责分类绩效目标：</w:t>
      </w:r>
    </w:p>
    <w:bookmarkEnd w:id="0"/>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jc w:val="left"/>
        <w:rPr>
          <w:rFonts w:ascii="仿宋" w:hAnsi="仿宋" w:eastAsia="仿宋" w:cs="仿宋_GB2312"/>
          <w:sz w:val="32"/>
        </w:rPr>
      </w:pPr>
      <w:r>
        <w:rPr>
          <w:rFonts w:hint="eastAsia" w:ascii="仿宋" w:hAnsi="仿宋" w:eastAsia="仿宋" w:cs="仿宋_GB2312"/>
          <w:sz w:val="32"/>
        </w:rPr>
        <w:t>我单位的主要职责分为</w:t>
      </w:r>
      <w:r>
        <w:rPr>
          <w:rFonts w:ascii="仿宋" w:hAnsi="仿宋" w:eastAsia="仿宋" w:cs="仿宋_GB2312"/>
          <w:sz w:val="32"/>
        </w:rPr>
        <w:t>8</w:t>
      </w:r>
      <w:r>
        <w:rPr>
          <w:rFonts w:hint="eastAsia" w:ascii="仿宋" w:hAnsi="仿宋" w:eastAsia="仿宋" w:cs="仿宋_GB2312"/>
          <w:sz w:val="32"/>
        </w:rPr>
        <w:t>项，分别是科技创新项目支撑、科技创新环境建设、科技政务管理；支持新型工业化发展、实施工业和信息化运行监测管理、推进全县信息化建设、促进中小企业和民营经济发展、工信政务管理。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jc w:val="left"/>
        <w:rPr>
          <w:rFonts w:ascii="仿宋" w:hAnsi="仿宋" w:eastAsia="仿宋" w:cs="仿宋_GB2312"/>
          <w:sz w:val="32"/>
        </w:rPr>
      </w:pPr>
      <w:r>
        <w:rPr>
          <w:rFonts w:hint="eastAsia" w:ascii="仿宋" w:hAnsi="仿宋" w:eastAsia="仿宋" w:cs="仿宋_GB2312"/>
          <w:sz w:val="32"/>
        </w:rPr>
        <w:t>涉及的主要活动分为</w:t>
      </w:r>
      <w:r>
        <w:rPr>
          <w:rFonts w:ascii="仿宋" w:hAnsi="仿宋" w:eastAsia="仿宋" w:cs="仿宋_GB2312"/>
          <w:sz w:val="32"/>
        </w:rPr>
        <w:t>20</w:t>
      </w:r>
      <w:r>
        <w:rPr>
          <w:rFonts w:hint="eastAsia" w:ascii="仿宋" w:hAnsi="仿宋" w:eastAsia="仿宋" w:cs="仿宋_GB2312"/>
          <w:sz w:val="32"/>
        </w:rPr>
        <w:t>项，分别是社会公益技术研究、现代农业技术研究、支持科技型中小企业技术创新、科技创新平台建设、科技创业平台（基地）建设、科技创新服务体系建设、科技人才队伍建设、综合业务管理、综合事务管理。</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jc w:val="left"/>
        <w:rPr>
          <w:rFonts w:hint="eastAsia" w:ascii="仿宋" w:hAnsi="仿宋" w:eastAsia="仿宋" w:cs="仿宋_GB2312"/>
          <w:sz w:val="32"/>
        </w:rPr>
      </w:pPr>
      <w:r>
        <w:rPr>
          <w:rFonts w:hint="eastAsia" w:ascii="仿宋" w:hAnsi="仿宋" w:eastAsia="仿宋" w:cs="仿宋_GB2312"/>
          <w:sz w:val="32"/>
        </w:rPr>
        <w:t>支持工业技术改造、扶持企业技术创新、协调推进工业强县建设、工业经济运行监测、组织开展工业企业对标行动、加强工业行业质量管理、推进信息化与工业化深度融合、中小和民营企业公共服务体系建设、促进产业集群和县域工业发展、开展中小企业和民营经济运行监测、综合事务管理。</w:t>
      </w:r>
    </w:p>
    <w:p>
      <w:pPr>
        <w:jc w:val="left"/>
        <w:outlineLvl w:val="3"/>
        <w:rPr>
          <w:rFonts w:hint="eastAsia" w:ascii="仿宋" w:hAnsi="仿宋" w:eastAsia="仿宋" w:cs="仿宋"/>
          <w:b/>
          <w:sz w:val="30"/>
          <w:szCs w:val="30"/>
        </w:rPr>
      </w:pPr>
      <w:bookmarkStart w:id="1" w:name="_Toc66041579"/>
      <w:r>
        <w:rPr>
          <w:rFonts w:hint="eastAsia" w:ascii="仿宋" w:hAnsi="仿宋" w:eastAsia="仿宋" w:cs="仿宋"/>
          <w:b/>
          <w:sz w:val="30"/>
          <w:szCs w:val="30"/>
        </w:rPr>
        <w:t>1.土地出让金/中小企业发展资金/河北超翔纸制品有限公司绩效目标表</w:t>
      </w:r>
      <w:bookmarkEnd w:id="1"/>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130525216W1CUSG3KZM7A</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土地出让金/中小企业发展资金/河北超翔纸制品有限公司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3364500.00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3364500.00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用于冲减厂房建设工程款和设备购置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1.用于冲减厂房建设工程款和设备购置</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2.用于冲减厂房建设工程款和设备购置</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3.用于冲减厂房建设工程款和设备购置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购置生产线数量</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购置生产线共4条</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按期完成</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都达到国家要求标准</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该项目总投资5800万元</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社会效益指标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提供就业岗位21个</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满意度调查表</w:t>
            </w:r>
          </w:p>
        </w:tc>
      </w:tr>
    </w:tbl>
    <w:p>
      <w:pPr>
        <w:ind w:firstLine="602" w:firstLineChars="200"/>
        <w:jc w:val="left"/>
        <w:outlineLvl w:val="3"/>
        <w:rPr>
          <w:rFonts w:hint="eastAsia" w:ascii="仿宋" w:hAnsi="仿宋" w:eastAsia="仿宋" w:cs="仿宋"/>
          <w:b/>
          <w:sz w:val="30"/>
          <w:szCs w:val="30"/>
        </w:rPr>
      </w:pPr>
      <w:bookmarkStart w:id="2" w:name="_Toc66041580"/>
    </w:p>
    <w:p>
      <w:pPr>
        <w:ind w:firstLine="602" w:firstLineChars="200"/>
        <w:jc w:val="left"/>
        <w:outlineLvl w:val="3"/>
        <w:rPr>
          <w:rFonts w:hint="eastAsia" w:ascii="仿宋" w:hAnsi="仿宋" w:eastAsia="仿宋" w:cs="仿宋"/>
          <w:b/>
          <w:sz w:val="30"/>
          <w:szCs w:val="30"/>
        </w:rPr>
      </w:pPr>
      <w:r>
        <w:rPr>
          <w:rFonts w:hint="eastAsia" w:ascii="仿宋" w:hAnsi="仿宋" w:eastAsia="仿宋" w:cs="仿宋"/>
          <w:b/>
          <w:sz w:val="30"/>
          <w:szCs w:val="30"/>
        </w:rPr>
        <w:t>2.办案补助/机关维修及劳务费绩效目标表</w:t>
      </w:r>
      <w:bookmarkEnd w:id="2"/>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130525218101PYQ4ZKHYK</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办案补助/机关维修及劳务费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116000.00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116000.00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用于自收自支人员工资社保等费用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1.提升企业核心竞争力</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2.提升企业核心竞争力</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3.提升企业核心竞争力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自收自支人员数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自收自支人员数2人</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2自收自支人员数2人</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达标率100%</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完成率达100%</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按人社局社保标准缴费</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按人社局社保标准缴费</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按人社局社保标准缴费</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促进工信工作顺利开展</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促进工信工作顺利开展</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促进工信工作顺利开展</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满意度达到100%</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spacing w:line="300" w:lineRule="exact"/>
        <w:jc w:val="left"/>
        <w:rPr>
          <w:rFonts w:hint="eastAsia" w:ascii="仿宋" w:hAnsi="仿宋" w:eastAsia="仿宋" w:cs="仿宋"/>
          <w:sz w:val="30"/>
          <w:szCs w:val="30"/>
        </w:rPr>
        <w:sectPr>
          <w:headerReference r:id="rId5" w:type="default"/>
          <w:pgSz w:w="16839" w:h="11907" w:orient="landscape"/>
          <w:pgMar w:top="1304" w:right="1984" w:bottom="1304" w:left="1134" w:header="851" w:footer="992" w:gutter="0"/>
          <w:cols w:space="425" w:num="1"/>
          <w:docGrid w:type="lines" w:linePitch="312" w:charSpace="0"/>
        </w:sectPr>
      </w:pPr>
    </w:p>
    <w:p>
      <w:pPr>
        <w:ind w:firstLine="602" w:firstLineChars="200"/>
        <w:jc w:val="left"/>
        <w:outlineLvl w:val="3"/>
        <w:rPr>
          <w:rFonts w:hint="eastAsia" w:ascii="仿宋" w:hAnsi="仿宋" w:eastAsia="仿宋" w:cs="仿宋"/>
          <w:b/>
          <w:sz w:val="30"/>
          <w:szCs w:val="30"/>
        </w:rPr>
      </w:pPr>
      <w:bookmarkStart w:id="3" w:name="_Toc66041581"/>
      <w:r>
        <w:rPr>
          <w:rFonts w:hint="eastAsia" w:ascii="仿宋" w:hAnsi="仿宋" w:eastAsia="仿宋" w:cs="仿宋"/>
          <w:b/>
          <w:sz w:val="30"/>
          <w:szCs w:val="30"/>
        </w:rPr>
        <w:t>3.土地出让金/中小企业发展专项资金/河北三厦厨具科技有限公司/年产25000吨植物油锅具项目绩效目标表</w:t>
      </w:r>
      <w:bookmarkEnd w:id="3"/>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13052521G2A14WXXV30Y4</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土地出让金/中小企业发展专项资金/河北三厦厨具科技有限公司/年产25000吨植物油锅具项目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17344000.00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17344000.00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用于冲减厂房建设工程款和设备购置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1.用于冲减厂房建设工程款和设备购置</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2.用于冲减厂房建设工程款和设备购置</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3.用于冲减厂房建设工程款和设备购置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购置生产线数量</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购置生产线共4条</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按期完成</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都达到国家要求标准</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该项目总投资5800万元</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社会效益指标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提供就业岗位21个</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满意度调查表</w:t>
            </w:r>
          </w:p>
        </w:tc>
      </w:tr>
    </w:tbl>
    <w:p>
      <w:pPr>
        <w:ind w:firstLine="602" w:firstLineChars="200"/>
        <w:jc w:val="left"/>
        <w:outlineLvl w:val="3"/>
        <w:rPr>
          <w:rFonts w:hint="eastAsia" w:ascii="仿宋" w:hAnsi="仿宋" w:eastAsia="仿宋" w:cs="仿宋"/>
          <w:b/>
          <w:sz w:val="30"/>
          <w:szCs w:val="30"/>
        </w:rPr>
      </w:pPr>
      <w:bookmarkStart w:id="4" w:name="_Toc66041582"/>
    </w:p>
    <w:p>
      <w:pPr>
        <w:numPr>
          <w:ilvl w:val="0"/>
          <w:numId w:val="2"/>
        </w:numPr>
        <w:ind w:firstLine="602" w:firstLineChars="200"/>
        <w:jc w:val="left"/>
        <w:outlineLvl w:val="3"/>
        <w:rPr>
          <w:rFonts w:hint="eastAsia" w:ascii="仿宋" w:hAnsi="仿宋" w:eastAsia="仿宋" w:cs="仿宋"/>
          <w:b/>
          <w:sz w:val="30"/>
          <w:szCs w:val="30"/>
        </w:rPr>
      </w:pPr>
      <w:r>
        <w:rPr>
          <w:rFonts w:hint="eastAsia" w:ascii="仿宋" w:hAnsi="仿宋" w:eastAsia="仿宋" w:cs="仿宋"/>
          <w:b/>
          <w:sz w:val="30"/>
          <w:szCs w:val="30"/>
        </w:rPr>
        <w:t>退役军人公益岗经费绩效目标表</w:t>
      </w:r>
      <w:bookmarkEnd w:id="4"/>
    </w:p>
    <w:p>
      <w:pPr>
        <w:numPr>
          <w:ilvl w:val="0"/>
          <w:numId w:val="0"/>
        </w:numPr>
        <w:jc w:val="left"/>
        <w:outlineLvl w:val="3"/>
        <w:rPr>
          <w:rFonts w:hint="eastAsia" w:ascii="仿宋" w:hAnsi="仿宋" w:eastAsia="仿宋" w:cs="仿宋"/>
          <w:b/>
          <w:sz w:val="30"/>
          <w:szCs w:val="30"/>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13052521GH7OQY8SFVFPI</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退役军人公益岗经费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11000.00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11000.00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用于支付退役军人公益岗工资社保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50.00%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1.提高退役军人就业水平</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2.提高退役军人业务能力</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3.提高退役军人生活幸福感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退役军人公益岗</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退役军人公益岗人数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1人</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总成本1.1万</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社会效益指标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提高退役军人就业</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提高退役军人就业</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提高退役军人就业</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spacing w:line="300" w:lineRule="exact"/>
        <w:jc w:val="left"/>
        <w:rPr>
          <w:rFonts w:hint="eastAsia" w:ascii="仿宋" w:hAnsi="仿宋" w:eastAsia="仿宋" w:cs="仿宋"/>
          <w:sz w:val="30"/>
          <w:szCs w:val="30"/>
        </w:rPr>
      </w:pPr>
    </w:p>
    <w:p>
      <w:pPr>
        <w:spacing w:line="300" w:lineRule="exact"/>
        <w:jc w:val="left"/>
        <w:rPr>
          <w:rFonts w:hint="eastAsia" w:ascii="仿宋" w:hAnsi="仿宋" w:eastAsia="仿宋" w:cs="仿宋"/>
          <w:sz w:val="30"/>
          <w:szCs w:val="30"/>
        </w:rPr>
      </w:pPr>
    </w:p>
    <w:p>
      <w:pPr>
        <w:numPr>
          <w:ilvl w:val="0"/>
          <w:numId w:val="3"/>
        </w:numPr>
        <w:tabs>
          <w:tab w:val="left" w:pos="1021"/>
          <w:tab w:val="clear" w:pos="312"/>
        </w:tabs>
        <w:spacing w:line="300" w:lineRule="exact"/>
        <w:jc w:val="left"/>
        <w:rPr>
          <w:rFonts w:hint="eastAsia" w:ascii="仿宋" w:hAnsi="仿宋" w:eastAsia="仿宋" w:cs="仿宋"/>
          <w:b/>
          <w:sz w:val="30"/>
          <w:szCs w:val="30"/>
        </w:rPr>
      </w:pPr>
      <w:bookmarkStart w:id="5" w:name="_Toc66041583"/>
      <w:r>
        <w:rPr>
          <w:rFonts w:hint="eastAsia" w:ascii="仿宋" w:hAnsi="仿宋" w:eastAsia="仿宋" w:cs="仿宋"/>
          <w:b/>
          <w:sz w:val="30"/>
          <w:szCs w:val="30"/>
        </w:rPr>
        <w:t>新能源公交车补贴资金绩效目标表</w:t>
      </w:r>
      <w:bookmarkEnd w:id="5"/>
    </w:p>
    <w:p>
      <w:pPr>
        <w:numPr>
          <w:ilvl w:val="0"/>
          <w:numId w:val="0"/>
        </w:numPr>
        <w:tabs>
          <w:tab w:val="left" w:pos="1021"/>
        </w:tabs>
        <w:spacing w:line="300" w:lineRule="exact"/>
        <w:jc w:val="left"/>
        <w:rPr>
          <w:rFonts w:hint="eastAsia" w:ascii="仿宋" w:hAnsi="仿宋" w:eastAsia="仿宋" w:cs="仿宋"/>
          <w:b/>
          <w:sz w:val="30"/>
          <w:szCs w:val="30"/>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13052521GMQC0Z7GUMUZX</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新能源公交车补贴资金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3000000.00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3000000.00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用于新能源公交车补贴资金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1.用于新能源公交车补贴资金</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2.用于新能源公交车补贴资金</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3.用于新能源公交车补贴资金</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4.用于新能源公交车补贴资金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购置车辆数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购置车辆数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10已购置车辆20辆</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100达标率达到100%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100完成率达到100%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车辆补贴</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车辆补贴</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30每辆车补贴30万</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生态效益指标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改善率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改善率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100改善率到100%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≥95满意度为100%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spacing w:line="300" w:lineRule="exact"/>
        <w:jc w:val="left"/>
        <w:rPr>
          <w:rFonts w:hint="eastAsia" w:ascii="仿宋" w:hAnsi="仿宋" w:eastAsia="仿宋" w:cs="仿宋"/>
          <w:sz w:val="30"/>
          <w:szCs w:val="30"/>
        </w:rPr>
        <w:sectPr>
          <w:pgSz w:w="16839" w:h="11907" w:orient="landscape"/>
          <w:pgMar w:top="1304" w:right="1984" w:bottom="1304" w:left="1134" w:header="851" w:footer="992" w:gutter="0"/>
          <w:cols w:space="425" w:num="1"/>
          <w:docGrid w:type="lines" w:linePitch="312" w:charSpace="0"/>
        </w:sectPr>
      </w:pPr>
    </w:p>
    <w:p>
      <w:pPr>
        <w:ind w:firstLine="602" w:firstLineChars="200"/>
        <w:jc w:val="left"/>
        <w:outlineLvl w:val="3"/>
        <w:rPr>
          <w:rFonts w:hint="eastAsia" w:ascii="仿宋" w:hAnsi="仿宋" w:eastAsia="仿宋" w:cs="仿宋"/>
          <w:b/>
          <w:sz w:val="30"/>
          <w:szCs w:val="30"/>
        </w:rPr>
      </w:pPr>
      <w:bookmarkStart w:id="6" w:name="_Toc66041584"/>
      <w:r>
        <w:rPr>
          <w:rFonts w:hint="eastAsia" w:ascii="仿宋" w:hAnsi="仿宋" w:eastAsia="仿宋" w:cs="仿宋"/>
          <w:b/>
          <w:sz w:val="30"/>
          <w:szCs w:val="30"/>
        </w:rPr>
        <w:t>6.2021年铸造产业产能认定工作经费绩效目标表</w:t>
      </w:r>
      <w:bookmarkEnd w:id="6"/>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13052521OD116PFDO0EP6</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2021年铸造产业产能认定工作经费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200000.00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200000.00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用于支付专家评定费用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1.精准把控铸造企业的实际产能</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2.精准把控铸造企业的实际产能</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3.精准把控铸造企业的实际产能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服务企业数量</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服务铸造企业数量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服务铸造企业81家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达标率为100%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成本控制</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成本控制</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该项目成本控制在20万</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社会效益指标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有效控制铸造产业实际产能</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有效控制铸造产业实际产能</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有效控制铸造产业实际产能</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满意度达100%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ind w:firstLine="602" w:firstLineChars="200"/>
        <w:jc w:val="left"/>
        <w:outlineLvl w:val="3"/>
        <w:rPr>
          <w:rFonts w:hint="eastAsia" w:ascii="仿宋" w:hAnsi="仿宋" w:eastAsia="仿宋" w:cs="仿宋"/>
          <w:b/>
          <w:sz w:val="30"/>
          <w:szCs w:val="30"/>
        </w:rPr>
      </w:pPr>
      <w:bookmarkStart w:id="7" w:name="_Toc66041585"/>
    </w:p>
    <w:p>
      <w:pPr>
        <w:ind w:firstLine="602" w:firstLineChars="200"/>
        <w:jc w:val="left"/>
        <w:outlineLvl w:val="3"/>
        <w:rPr>
          <w:rFonts w:hint="eastAsia" w:ascii="仿宋" w:hAnsi="仿宋" w:eastAsia="仿宋" w:cs="仿宋"/>
          <w:b/>
          <w:sz w:val="30"/>
          <w:szCs w:val="30"/>
        </w:rPr>
      </w:pPr>
      <w:r>
        <w:rPr>
          <w:rFonts w:hint="eastAsia" w:ascii="仿宋" w:hAnsi="仿宋" w:eastAsia="仿宋" w:cs="仿宋"/>
          <w:b/>
          <w:sz w:val="30"/>
          <w:szCs w:val="30"/>
        </w:rPr>
        <w:t>7.土地出让金/支持企业发展奖励资金绩效目标表</w:t>
      </w:r>
      <w:bookmarkEnd w:id="7"/>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13052521P2KSPEBUGZAF7</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土地出让金/支持企业发展奖励资金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167401500.00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167401500.00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用于企业开展产业技术升级改造，推进产业集聚产业化示范项目建设等补助支出，进一步优化中小企业发展环境，促进全县经济平稳健康运行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30.00%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1.促进企业技术创新</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2.促进中小企业健康发展</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3.提升中小企业核心竞争力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服务企业数量</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服务企业数量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总投入</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总投入</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总投入167481.15万元</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规模以上企业增加值</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规模以上企业增加值</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≥7%</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企业满意度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ind w:firstLine="602" w:firstLineChars="200"/>
        <w:jc w:val="left"/>
        <w:outlineLvl w:val="3"/>
        <w:rPr>
          <w:rFonts w:hint="eastAsia" w:ascii="仿宋" w:hAnsi="仿宋" w:eastAsia="仿宋" w:cs="仿宋"/>
          <w:b/>
          <w:sz w:val="30"/>
          <w:szCs w:val="30"/>
        </w:rPr>
      </w:pPr>
      <w:bookmarkStart w:id="8" w:name="_Toc66041586"/>
      <w:r>
        <w:rPr>
          <w:rFonts w:hint="eastAsia" w:ascii="仿宋" w:hAnsi="仿宋" w:eastAsia="仿宋" w:cs="仿宋"/>
          <w:b/>
          <w:sz w:val="30"/>
          <w:szCs w:val="30"/>
        </w:rPr>
        <w:t>8.提升技术创新服务经费绩效目标表</w:t>
      </w:r>
      <w:bookmarkEnd w:id="8"/>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13052521RWC2RBPD4EX7L</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提升技术创新服务经费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200000.00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200000.00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项目资金主要用于开展科技型中小企业、高新技术企业认定；促进产学研合作、成果转化，科技创新创业孵化等科技服务，以及用于开展工业运行态势监测、分析；开展中小企业专题培训等活动支出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20.00%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70.00%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1.企业科技创新取得新成效</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2.工业运行态势平稳相好</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3.提升企业核心竞争力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高新企业技术增加数</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高新企业技术增加数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5家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工作成本控制</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工作成本控制</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工作成本控制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工业运行态势</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工业运行态势</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工业运行态势</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ind w:firstLine="602" w:firstLineChars="200"/>
        <w:jc w:val="left"/>
        <w:outlineLvl w:val="3"/>
        <w:rPr>
          <w:rFonts w:hint="eastAsia" w:ascii="仿宋" w:hAnsi="仿宋" w:eastAsia="仿宋" w:cs="仿宋"/>
          <w:b/>
          <w:sz w:val="30"/>
          <w:szCs w:val="30"/>
        </w:rPr>
      </w:pPr>
      <w:bookmarkStart w:id="9" w:name="_Toc66041587"/>
    </w:p>
    <w:p>
      <w:pPr>
        <w:ind w:firstLine="602" w:firstLineChars="200"/>
        <w:jc w:val="left"/>
        <w:outlineLvl w:val="3"/>
        <w:rPr>
          <w:rFonts w:hint="eastAsia" w:ascii="仿宋" w:hAnsi="仿宋" w:eastAsia="仿宋" w:cs="仿宋"/>
          <w:b/>
          <w:sz w:val="30"/>
          <w:szCs w:val="30"/>
        </w:rPr>
      </w:pPr>
      <w:r>
        <w:rPr>
          <w:rFonts w:hint="eastAsia" w:ascii="仿宋" w:hAnsi="仿宋" w:eastAsia="仿宋" w:cs="仿宋"/>
          <w:b/>
          <w:sz w:val="30"/>
          <w:szCs w:val="30"/>
        </w:rPr>
        <w:t>9.土地出让金/中小企业发展资金/今麦郎等8家企业支持发展资金绩效目标表</w:t>
      </w:r>
      <w:bookmarkEnd w:id="9"/>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hint="eastAsia" w:ascii="仿宋" w:hAnsi="仿宋" w:eastAsia="仿宋" w:cs="仿宋"/>
                <w:b/>
                <w:sz w:val="30"/>
                <w:szCs w:val="30"/>
              </w:rPr>
            </w:pPr>
          </w:p>
          <w:p>
            <w:pPr>
              <w:spacing w:line="300" w:lineRule="exact"/>
              <w:jc w:val="left"/>
              <w:rPr>
                <w:rFonts w:hint="eastAsia" w:ascii="仿宋" w:hAnsi="仿宋" w:eastAsia="仿宋" w:cs="仿宋"/>
                <w:b/>
                <w:sz w:val="30"/>
                <w:szCs w:val="30"/>
              </w:rPr>
            </w:pPr>
            <w:r>
              <w:rPr>
                <w:rFonts w:hint="eastAsia" w:ascii="仿宋" w:hAnsi="仿宋" w:eastAsia="仿宋" w:cs="仿宋"/>
                <w:b/>
                <w:sz w:val="30"/>
                <w:szCs w:val="30"/>
              </w:rPr>
              <w:t>306001隆尧县科技和工业信息化局本级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hint="eastAsia" w:ascii="仿宋" w:hAnsi="仿宋" w:eastAsia="仿宋" w:cs="仿宋"/>
                <w:sz w:val="30"/>
                <w:szCs w:val="30"/>
              </w:rPr>
            </w:pPr>
            <w:r>
              <w:rPr>
                <w:rFonts w:hint="eastAsia" w:ascii="仿宋" w:hAnsi="仿宋" w:eastAsia="仿宋" w:cs="仿宋"/>
                <w:sz w:val="30"/>
                <w:szCs w:val="30"/>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项目编码</w:t>
            </w:r>
          </w:p>
        </w:tc>
        <w:tc>
          <w:tcPr>
            <w:tcW w:w="2410"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13052521TI161LCG8BWMI</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项目名称</w:t>
            </w:r>
          </w:p>
        </w:tc>
        <w:tc>
          <w:tcPr>
            <w:tcW w:w="4281" w:type="dxa"/>
            <w:gridSpan w:val="3"/>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土地出让金/中小企业发展资金/今麦郎等8家企业支持发展资金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预算规模及资金用途</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预算数</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71890000.00</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其中：财政资金</w:t>
            </w:r>
          </w:p>
        </w:tc>
        <w:tc>
          <w:tcPr>
            <w:tcW w:w="130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71890000.00</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其他资金</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8278" w:type="dxa"/>
            <w:gridSpan w:val="6"/>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用于促进企业技术创新、促进中小企业健康发展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资金支出计划（%）</w:t>
            </w:r>
          </w:p>
        </w:tc>
        <w:tc>
          <w:tcPr>
            <w:tcW w:w="2410"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3月底</w:t>
            </w:r>
          </w:p>
        </w:tc>
        <w:tc>
          <w:tcPr>
            <w:tcW w:w="1587"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6月底</w:t>
            </w:r>
          </w:p>
        </w:tc>
        <w:tc>
          <w:tcPr>
            <w:tcW w:w="130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10月底</w:t>
            </w:r>
          </w:p>
        </w:tc>
        <w:tc>
          <w:tcPr>
            <w:tcW w:w="2977"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rPr>
                <w:rFonts w:hint="eastAsia" w:ascii="仿宋" w:hAnsi="仿宋" w:eastAsia="仿宋" w:cs="仿宋"/>
                <w:sz w:val="30"/>
                <w:szCs w:val="30"/>
              </w:rPr>
            </w:pPr>
          </w:p>
        </w:tc>
        <w:tc>
          <w:tcPr>
            <w:tcW w:w="2410"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20.00%</w:t>
            </w:r>
          </w:p>
        </w:tc>
        <w:tc>
          <w:tcPr>
            <w:tcW w:w="1587"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50.00%</w:t>
            </w:r>
          </w:p>
        </w:tc>
        <w:tc>
          <w:tcPr>
            <w:tcW w:w="1304" w:type="dxa"/>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80.00%</w:t>
            </w:r>
          </w:p>
        </w:tc>
        <w:tc>
          <w:tcPr>
            <w:tcW w:w="2977" w:type="dxa"/>
            <w:gridSpan w:val="2"/>
            <w:tcBorders>
              <w:bottom w:val="single" w:color="000000" w:sz="6" w:space="0"/>
            </w:tcBorders>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绩效目标</w:t>
            </w:r>
          </w:p>
        </w:tc>
        <w:tc>
          <w:tcPr>
            <w:tcW w:w="8278" w:type="dxa"/>
            <w:gridSpan w:val="6"/>
            <w:tcBorders>
              <w:bottom w:val="nil"/>
            </w:tcBorders>
            <w:shd w:val="clear" w:color="auto" w:fill="auto"/>
            <w:noWrap w:val="0"/>
            <w:vAlign w:val="center"/>
          </w:tcPr>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1.促进企业技术创新</w:t>
            </w:r>
          </w:p>
          <w:p>
            <w:pPr>
              <w:spacing w:line="300" w:lineRule="exact"/>
              <w:ind w:firstLine="600" w:firstLineChars="200"/>
              <w:jc w:val="left"/>
              <w:rPr>
                <w:rFonts w:hint="eastAsia" w:ascii="仿宋" w:hAnsi="仿宋" w:eastAsia="仿宋" w:cs="仿宋"/>
                <w:sz w:val="30"/>
                <w:szCs w:val="30"/>
              </w:rPr>
            </w:pPr>
            <w:r>
              <w:rPr>
                <w:rFonts w:hint="eastAsia" w:ascii="仿宋" w:hAnsi="仿宋" w:eastAsia="仿宋" w:cs="仿宋"/>
                <w:sz w:val="30"/>
                <w:szCs w:val="30"/>
              </w:rPr>
              <w:t>2.促进中小企业健康发展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一级指标</w:t>
            </w:r>
          </w:p>
        </w:tc>
        <w:tc>
          <w:tcPr>
            <w:tcW w:w="1134"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二级指标</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三级指标</w:t>
            </w:r>
          </w:p>
        </w:tc>
        <w:tc>
          <w:tcPr>
            <w:tcW w:w="2891" w:type="dxa"/>
            <w:gridSpan w:val="2"/>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绩效指标描述</w:t>
            </w:r>
          </w:p>
        </w:tc>
        <w:tc>
          <w:tcPr>
            <w:tcW w:w="1276"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w:t>
            </w:r>
          </w:p>
        </w:tc>
        <w:tc>
          <w:tcPr>
            <w:tcW w:w="1701" w:type="dxa"/>
            <w:shd w:val="clear" w:color="auto" w:fill="auto"/>
            <w:noWrap w:val="0"/>
            <w:vAlign w:val="center"/>
          </w:tcPr>
          <w:p>
            <w:pPr>
              <w:spacing w:line="300" w:lineRule="exact"/>
              <w:jc w:val="center"/>
              <w:rPr>
                <w:rFonts w:hint="eastAsia" w:ascii="仿宋" w:hAnsi="仿宋" w:eastAsia="仿宋" w:cs="仿宋"/>
                <w:b/>
                <w:sz w:val="30"/>
                <w:szCs w:val="30"/>
              </w:rPr>
            </w:pPr>
            <w:r>
              <w:rPr>
                <w:rFonts w:hint="eastAsia" w:ascii="仿宋" w:hAnsi="仿宋" w:eastAsia="仿宋" w:cs="仿宋"/>
                <w:b/>
                <w:sz w:val="30"/>
                <w:szCs w:val="30"/>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产出指标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数量指标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实施技术升级改造项目</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对企业开展省级改造项目成效显著的给予补助项目数量</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不低于20家</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补助实施技术升级改造项目数量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质量指标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完成率达到100%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时效指标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达标率达到100%</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仿宋" w:hAnsi="仿宋" w:eastAsia="仿宋" w:cs="仿宋"/>
                <w:sz w:val="30"/>
                <w:szCs w:val="30"/>
              </w:rPr>
            </w:pP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成本指标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资金投入规模</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资金投入规模</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7181万元</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效益指标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经济效益指标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经济发展</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经济发展</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促进经济发展，有效提升</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仿宋" w:hAnsi="仿宋" w:eastAsia="仿宋" w:cs="仿宋"/>
                <w:sz w:val="30"/>
                <w:szCs w:val="30"/>
              </w:rPr>
            </w:pPr>
            <w:r>
              <w:rPr>
                <w:rFonts w:hint="eastAsia" w:ascii="仿宋" w:hAnsi="仿宋" w:eastAsia="仿宋" w:cs="仿宋"/>
                <w:sz w:val="30"/>
                <w:szCs w:val="30"/>
              </w:rPr>
              <w:t>满意度指标</w:t>
            </w:r>
          </w:p>
        </w:tc>
        <w:tc>
          <w:tcPr>
            <w:tcW w:w="1134"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服务对象满意度指标</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2891" w:type="dxa"/>
            <w:gridSpan w:val="2"/>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满意度</w:t>
            </w:r>
          </w:p>
        </w:tc>
        <w:tc>
          <w:tcPr>
            <w:tcW w:w="1276" w:type="dxa"/>
            <w:shd w:val="clear" w:color="auto" w:fill="auto"/>
            <w:noWrap w:val="0"/>
            <w:vAlign w:val="center"/>
          </w:tcPr>
          <w:p>
            <w:pPr>
              <w:spacing w:line="300" w:lineRule="exact"/>
              <w:jc w:val="left"/>
              <w:rPr>
                <w:rFonts w:hint="eastAsia" w:ascii="仿宋" w:hAnsi="仿宋" w:eastAsia="仿宋" w:cs="仿宋"/>
                <w:sz w:val="30"/>
                <w:szCs w:val="30"/>
              </w:rPr>
            </w:pPr>
            <w:r>
              <w:rPr>
                <w:rFonts w:hint="eastAsia" w:ascii="仿宋" w:hAnsi="仿宋" w:eastAsia="仿宋" w:cs="仿宋"/>
                <w:sz w:val="30"/>
                <w:szCs w:val="30"/>
              </w:rPr>
              <w:t>≥95%</w:t>
            </w:r>
          </w:p>
        </w:tc>
        <w:tc>
          <w:tcPr>
            <w:tcW w:w="1701" w:type="dxa"/>
            <w:shd w:val="clear" w:color="auto" w:fill="auto"/>
            <w:noWrap w:val="0"/>
            <w:vAlign w:val="center"/>
          </w:tcPr>
          <w:p>
            <w:pPr>
              <w:spacing w:line="300" w:lineRule="exact"/>
              <w:jc w:val="left"/>
              <w:rPr>
                <w:rFonts w:hint="eastAsia" w:ascii="仿宋" w:hAnsi="仿宋" w:eastAsia="仿宋" w:cs="仿宋"/>
                <w:sz w:val="30"/>
                <w:szCs w:val="30"/>
              </w:rPr>
            </w:pPr>
          </w:p>
        </w:tc>
      </w:tr>
    </w:tbl>
    <w:p>
      <w:pPr>
        <w:autoSpaceDE w:val="0"/>
        <w:autoSpaceDN w:val="0"/>
        <w:adjustRightInd w:val="0"/>
        <w:jc w:val="left"/>
        <w:rPr>
          <w:rFonts w:hint="eastAsia" w:ascii="Times New Roman" w:hAnsi="Times New Roman" w:eastAsia="仿宋" w:cs="仿宋"/>
          <w:b/>
          <w:bCs/>
          <w:color w:val="auto"/>
          <w:sz w:val="32"/>
          <w:szCs w:val="32"/>
        </w:rPr>
      </w:pPr>
    </w:p>
    <w:p>
      <w:pPr>
        <w:autoSpaceDE w:val="0"/>
        <w:autoSpaceDN w:val="0"/>
        <w:adjustRightInd w:val="0"/>
        <w:jc w:val="left"/>
        <w:rPr>
          <w:rFonts w:hint="eastAsia" w:ascii="Times New Roman" w:hAnsi="Times New Roman" w:eastAsia="仿宋" w:cs="仿宋"/>
          <w:b/>
          <w:bCs/>
          <w:color w:val="auto"/>
          <w:sz w:val="32"/>
          <w:szCs w:val="32"/>
        </w:rPr>
      </w:pPr>
    </w:p>
    <w:p>
      <w:pPr>
        <w:autoSpaceDE w:val="0"/>
        <w:autoSpaceDN w:val="0"/>
        <w:adjustRightInd w:val="0"/>
        <w:ind w:left="198" w:firstLine="643" w:firstLineChars="200"/>
        <w:jc w:val="left"/>
        <w:rPr>
          <w:rFonts w:ascii="Times New Roman" w:hAnsi="Times New Roman" w:eastAsia="仿宋" w:cs="Times New Roman"/>
          <w:b/>
          <w:bCs/>
          <w:color w:val="auto"/>
          <w:sz w:val="32"/>
          <w:szCs w:val="32"/>
        </w:rPr>
      </w:pPr>
      <w:r>
        <w:rPr>
          <w:rFonts w:hint="eastAsia" w:ascii="Times New Roman" w:hAnsi="Times New Roman" w:eastAsia="仿宋" w:cs="仿宋"/>
          <w:b/>
          <w:bCs/>
          <w:color w:val="auto"/>
          <w:sz w:val="32"/>
          <w:szCs w:val="32"/>
        </w:rPr>
        <w:t>部门职责及工作活动绩效目标指标：</w:t>
      </w:r>
    </w:p>
    <w:p>
      <w:pPr>
        <w:jc w:val="center"/>
        <w:outlineLvl w:val="0"/>
        <w:rPr>
          <w:rFonts w:ascii="方正小标宋_GBK" w:hAnsi="Times New Roman" w:eastAsia="方正小标宋_GBK" w:cs="Times New Roman"/>
          <w:sz w:val="32"/>
          <w:szCs w:val="32"/>
        </w:rPr>
      </w:pPr>
    </w:p>
    <w:p>
      <w:pPr>
        <w:jc w:val="center"/>
        <w:outlineLvl w:val="0"/>
        <w:rPr>
          <w:rFonts w:ascii="方正小标宋_GBK" w:eastAsia="方正小标宋_GBK" w:cs="Times New Roman"/>
          <w:color w:val="FFFFFF"/>
          <w:sz w:val="32"/>
          <w:szCs w:val="32"/>
        </w:rPr>
      </w:pPr>
      <w:bookmarkStart w:id="10" w:name="_Toc1980000"/>
      <w:r>
        <w:rPr>
          <w:rFonts w:hint="eastAsia" w:ascii="方正小标宋_GBK" w:eastAsia="方正小标宋_GBK" w:cs="方正小标宋_GBK"/>
          <w:sz w:val="32"/>
          <w:szCs w:val="32"/>
        </w:rPr>
        <w:t>部门职责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r>
        <w:rPr>
          <w:rStyle w:val="10"/>
          <w:rFonts w:hint="eastAsia" w:ascii="方正小标宋_GBK" w:hAnsi="Symbol" w:eastAsia="方正小标宋_GBK" w:cs="Times New Roman"/>
          <w:color w:val="FFFFFF"/>
          <w:sz w:val="32"/>
          <w:szCs w:val="32"/>
        </w:rPr>
        <w:footnoteReference w:id="0" w:customMarkFollows="1"/>
        <w:sym w:font="Symbol" w:char="F020"/>
      </w:r>
      <w:bookmarkEnd w:id="10"/>
    </w:p>
    <w:tbl>
      <w:tblPr>
        <w:tblStyle w:val="7"/>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cs="Times New Roman"/>
                <w:sz w:val="24"/>
                <w:szCs w:val="24"/>
                <w:lang w:eastAsia="zh-CN"/>
              </w:rPr>
            </w:pPr>
            <w:r>
              <w:rPr>
                <w:rFonts w:hint="eastAsia" w:ascii="方正小标宋_GBK" w:eastAsia="方正小标宋_GBK" w:cs="Times New Roman"/>
                <w:sz w:val="24"/>
                <w:szCs w:val="24"/>
                <w:lang w:eastAsia="zh-CN"/>
              </w:rPr>
              <w:t>隆尧县科工局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w:t>
            </w:r>
            <w:r>
              <w:rPr>
                <w:rFonts w:hint="eastAsia" w:ascii="方正书宋_GBK" w:eastAsia="方正书宋_GBK" w:cs="方正书宋_GBK"/>
                <w:sz w:val="24"/>
                <w:szCs w:val="24"/>
                <w:lang w:eastAsia="zh-CN"/>
              </w:rPr>
              <w:t>万</w:t>
            </w:r>
            <w:r>
              <w:rPr>
                <w:rFonts w:hint="eastAsia" w:ascii="方正书宋_GBK" w:eastAsia="方正书宋_GBK" w:cs="方正书宋_GBK"/>
                <w:sz w:val="24"/>
                <w:szCs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cs="Times New Roman"/>
              </w:rPr>
            </w:pPr>
          </w:p>
        </w:tc>
        <w:tc>
          <w:tcPr>
            <w:tcW w:w="1276" w:type="dxa"/>
            <w:vMerge w:val="continue"/>
            <w:vAlign w:val="center"/>
          </w:tcPr>
          <w:p>
            <w:pPr>
              <w:spacing w:line="300" w:lineRule="exact"/>
              <w:jc w:val="left"/>
              <w:outlineLvl w:val="0"/>
              <w:rPr>
                <w:rFonts w:cs="Times New Roman"/>
              </w:rPr>
            </w:pPr>
          </w:p>
        </w:tc>
        <w:tc>
          <w:tcPr>
            <w:tcW w:w="2976" w:type="dxa"/>
            <w:vMerge w:val="continue"/>
            <w:vAlign w:val="center"/>
          </w:tcPr>
          <w:p>
            <w:pPr>
              <w:spacing w:line="300" w:lineRule="exact"/>
              <w:jc w:val="left"/>
              <w:outlineLvl w:val="0"/>
              <w:rPr>
                <w:rFonts w:cs="Times New Roman"/>
              </w:rPr>
            </w:pPr>
          </w:p>
        </w:tc>
        <w:tc>
          <w:tcPr>
            <w:tcW w:w="2976" w:type="dxa"/>
            <w:vMerge w:val="continue"/>
            <w:vAlign w:val="center"/>
          </w:tcPr>
          <w:p>
            <w:pPr>
              <w:spacing w:line="300" w:lineRule="exact"/>
              <w:jc w:val="left"/>
              <w:outlineLvl w:val="0"/>
              <w:rPr>
                <w:rFonts w:cs="Times New Roman"/>
              </w:rPr>
            </w:pPr>
          </w:p>
        </w:tc>
        <w:tc>
          <w:tcPr>
            <w:tcW w:w="1417" w:type="dxa"/>
            <w:vMerge w:val="continue"/>
            <w:vAlign w:val="center"/>
          </w:tcPr>
          <w:p>
            <w:pPr>
              <w:spacing w:line="300" w:lineRule="exact"/>
              <w:jc w:val="left"/>
              <w:outlineLvl w:val="0"/>
              <w:rPr>
                <w:rFonts w:cs="Times New Roman"/>
              </w:rPr>
            </w:pP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cs="Times New Roman"/>
                <w:b/>
                <w:bCs/>
                <w:lang w:eastAsia="zh-CN"/>
              </w:rPr>
            </w:pPr>
            <w:r>
              <w:rPr>
                <w:rFonts w:hint="eastAsia" w:ascii="方正书宋_GBK" w:eastAsia="方正书宋_GBK" w:cs="Times New Roman"/>
                <w:b/>
                <w:bCs/>
                <w:lang w:eastAsia="zh-CN"/>
              </w:rPr>
              <w:t>一般预算</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531.44</w:t>
            </w:r>
          </w:p>
        </w:tc>
        <w:tc>
          <w:tcPr>
            <w:tcW w:w="29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单位人员经费、日常公用等</w:t>
            </w:r>
          </w:p>
        </w:tc>
        <w:tc>
          <w:tcPr>
            <w:tcW w:w="29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保证单位正常运转</w:t>
            </w:r>
          </w:p>
        </w:tc>
        <w:tc>
          <w:tcPr>
            <w:tcW w:w="1417"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资金下达率</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方正书宋_GBK" w:eastAsia="方正书宋_GBK" w:cs="Times New Roman"/>
                <w:b/>
                <w:bCs/>
                <w:lang w:eastAsia="zh-CN"/>
              </w:rPr>
            </w:pPr>
            <w:r>
              <w:rPr>
                <w:rFonts w:hint="eastAsia" w:ascii="方正书宋_GBK" w:eastAsia="方正书宋_GBK" w:cs="Times New Roman"/>
                <w:b/>
                <w:bCs/>
                <w:lang w:eastAsia="zh-CN"/>
              </w:rPr>
              <w:t>政府基金</w:t>
            </w:r>
          </w:p>
        </w:tc>
        <w:tc>
          <w:tcPr>
            <w:tcW w:w="1276" w:type="dxa"/>
            <w:vAlign w:val="center"/>
          </w:tcPr>
          <w:p>
            <w:pPr>
              <w:spacing w:line="300" w:lineRule="exact"/>
              <w:jc w:val="left"/>
              <w:rPr>
                <w:rFonts w:hint="default" w:ascii="方正书宋_GBK" w:eastAsia="方正书宋_GBK" w:cs="方正书宋_GBK"/>
                <w:lang w:val="en-US" w:eastAsia="zh-CN"/>
              </w:rPr>
            </w:pPr>
            <w:r>
              <w:rPr>
                <w:rFonts w:hint="eastAsia" w:ascii="方正书宋_GBK" w:eastAsia="方正书宋_GBK" w:cs="方正书宋_GBK"/>
                <w:lang w:val="en-US" w:eastAsia="zh-CN"/>
              </w:rPr>
              <w:t>26000</w:t>
            </w:r>
          </w:p>
        </w:tc>
        <w:tc>
          <w:tcPr>
            <w:tcW w:w="29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对企业补助</w:t>
            </w:r>
          </w:p>
        </w:tc>
        <w:tc>
          <w:tcPr>
            <w:tcW w:w="2976"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高效服务企业</w:t>
            </w:r>
          </w:p>
        </w:tc>
        <w:tc>
          <w:tcPr>
            <w:tcW w:w="1417"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服务对象满意度</w:t>
            </w:r>
          </w:p>
        </w:tc>
        <w:tc>
          <w:tcPr>
            <w:tcW w:w="737" w:type="dxa"/>
            <w:vAlign w:val="center"/>
          </w:tcPr>
          <w:p>
            <w:pPr>
              <w:spacing w:line="300" w:lineRule="exact"/>
              <w:rPr>
                <w:rFonts w:ascii="方正书宋_GBK" w:eastAsia="方正书宋_GBK" w:cs="Times New Roman"/>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Times New Roman"/>
              </w:rPr>
            </w:pPr>
            <w:r>
              <w:rPr>
                <w:rFonts w:ascii="方正书宋_GBK" w:eastAsia="方正书宋_GBK" w:cs="方正书宋_GBK"/>
              </w:rPr>
              <w:t>90%</w:t>
            </w:r>
            <w:r>
              <w:rPr>
                <w:rFonts w:hint="eastAsia" w:ascii="方正书宋_GBK" w:eastAsia="方正书宋_GBK" w:cs="方正书宋_GBK"/>
              </w:rPr>
              <w:t>以下</w:t>
            </w:r>
          </w:p>
        </w:tc>
      </w:tr>
    </w:tbl>
    <w:p>
      <w:pPr>
        <w:autoSpaceDE w:val="0"/>
        <w:autoSpaceDN w:val="0"/>
        <w:adjustRightInd w:val="0"/>
        <w:jc w:val="left"/>
        <w:rPr>
          <w:rFonts w:hint="eastAsia" w:ascii="黑体" w:hAnsi="黑体" w:eastAsia="黑体" w:cs="黑体"/>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hint="default" w:ascii="Times New Roman" w:hAnsi="Times New Roman" w:eastAsia="仿宋" w:cs="仿宋"/>
          <w:sz w:val="32"/>
          <w:szCs w:val="32"/>
          <w:lang w:val="en-US" w:eastAsia="zh-CN"/>
        </w:rPr>
      </w:pPr>
      <w:bookmarkStart w:id="11" w:name="_Toc471398468"/>
      <w:r>
        <w:rPr>
          <w:rFonts w:ascii="Times New Roman" w:hAnsi="Times New Roman" w:eastAsia="仿宋" w:cs="Times New Roman"/>
          <w:sz w:val="32"/>
          <w:szCs w:val="32"/>
        </w:rPr>
        <w:t xml:space="preserve"> 20</w:t>
      </w:r>
      <w:r>
        <w:rPr>
          <w:rFonts w:hint="eastAsia" w:ascii="Times New Roman" w:hAnsi="Times New Roman" w:eastAsia="仿宋" w:cs="Times New Roman"/>
          <w:sz w:val="32"/>
          <w:szCs w:val="32"/>
          <w:lang w:val="en-US" w:eastAsia="zh-CN"/>
        </w:rPr>
        <w:t>21</w:t>
      </w:r>
      <w:r>
        <w:rPr>
          <w:rFonts w:hint="eastAsia" w:ascii="Times New Roman" w:hAnsi="Times New Roman" w:eastAsia="仿宋" w:cs="仿宋"/>
          <w:sz w:val="32"/>
          <w:szCs w:val="32"/>
        </w:rPr>
        <w:t>年，我</w:t>
      </w:r>
      <w:r>
        <w:rPr>
          <w:rFonts w:hint="eastAsia" w:ascii="Times New Roman" w:hAnsi="Times New Roman" w:eastAsia="仿宋" w:cs="仿宋"/>
          <w:sz w:val="32"/>
          <w:szCs w:val="32"/>
          <w:lang w:eastAsia="zh-CN"/>
        </w:rPr>
        <w:t>局</w:t>
      </w:r>
      <w:r>
        <w:rPr>
          <w:rFonts w:hint="eastAsia" w:ascii="Times New Roman" w:hAnsi="Times New Roman" w:eastAsia="仿宋" w:cs="仿宋"/>
          <w:sz w:val="32"/>
          <w:szCs w:val="32"/>
        </w:rPr>
        <w:t>安排政府采购预算</w:t>
      </w:r>
      <w:r>
        <w:rPr>
          <w:rFonts w:hint="eastAsia" w:ascii="Times New Roman" w:hAnsi="Times New Roman" w:eastAsia="仿宋" w:cs="仿宋"/>
          <w:sz w:val="32"/>
          <w:szCs w:val="32"/>
          <w:lang w:val="en-US" w:eastAsia="zh-CN"/>
        </w:rPr>
        <w:t>3.5</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p>
    <w:p>
      <w:pPr>
        <w:ind w:firstLine="640" w:firstLineChars="200"/>
        <w:outlineLvl w:val="0"/>
        <w:rPr>
          <w:rFonts w:ascii="Times New Roman" w:hAnsi="Times New Roman" w:eastAsia="仿宋" w:cs="Times New Roman"/>
          <w:sz w:val="32"/>
          <w:szCs w:val="32"/>
        </w:rPr>
      </w:pPr>
      <w:r>
        <w:rPr>
          <w:rFonts w:hint="eastAsia" w:ascii="Times New Roman" w:hAnsi="Times New Roman" w:eastAsia="仿宋" w:cs="仿宋"/>
          <w:sz w:val="32"/>
          <w:szCs w:val="32"/>
        </w:rPr>
        <w:t>具体内容见下表。</w:t>
      </w:r>
      <w:bookmarkEnd w:id="11"/>
    </w:p>
    <w:p>
      <w:pPr>
        <w:jc w:val="center"/>
        <w:outlineLvl w:val="0"/>
        <w:rPr>
          <w:rFonts w:hint="eastAsia" w:ascii="方正小标宋_GBK" w:eastAsia="方正小标宋_GBK" w:cs="方正小标宋_GBK"/>
          <w:sz w:val="32"/>
          <w:szCs w:val="32"/>
        </w:rPr>
      </w:pPr>
      <w:bookmarkStart w:id="12" w:name="_Toc535404684"/>
    </w:p>
    <w:p>
      <w:pPr>
        <w:jc w:val="center"/>
        <w:outlineLvl w:val="0"/>
        <w:rPr>
          <w:rFonts w:ascii="方正小标宋_GBK" w:eastAsia="方正小标宋_GBK" w:cs="Times New Roman"/>
          <w:sz w:val="32"/>
          <w:szCs w:val="32"/>
        </w:rPr>
      </w:pPr>
      <w:r>
        <w:rPr>
          <w:rFonts w:hint="eastAsia" w:ascii="方正小标宋_GBK" w:eastAsia="方正小标宋_GBK" w:cs="方正小标宋_GBK"/>
          <w:sz w:val="32"/>
          <w:szCs w:val="32"/>
        </w:rPr>
        <w:t>部门政府采购预算</w:t>
      </w:r>
      <w:bookmarkEnd w:id="12"/>
    </w:p>
    <w:p>
      <w:pPr>
        <w:spacing w:line="300" w:lineRule="exact"/>
        <w:jc w:val="left"/>
        <w:outlineLvl w:val="0"/>
        <w:rPr>
          <w:rFonts w:cs="Times New Roman"/>
        </w:rPr>
      </w:pP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280"/>
        <w:gridCol w:w="780"/>
        <w:gridCol w:w="700"/>
        <w:gridCol w:w="1294"/>
        <w:gridCol w:w="1376"/>
        <w:gridCol w:w="892"/>
        <w:gridCol w:w="1368"/>
        <w:gridCol w:w="900"/>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lang w:eastAsia="zh-CN"/>
              </w:rPr>
            </w:pPr>
            <w:r>
              <w:rPr>
                <w:rFonts w:ascii="方正小标宋_GBK" w:eastAsia="方正小标宋_GBK"/>
                <w:sz w:val="24"/>
              </w:rPr>
              <w:t>434</w:t>
            </w:r>
            <w:r>
              <w:rPr>
                <w:rFonts w:hint="eastAsia" w:ascii="方正小标宋_GBK" w:eastAsia="方正小标宋_GBK"/>
                <w:sz w:val="24"/>
              </w:rPr>
              <w:t>隆尧县</w:t>
            </w:r>
            <w:r>
              <w:rPr>
                <w:rFonts w:hint="eastAsia" w:ascii="方正小标宋_GBK" w:eastAsia="方正小标宋_GBK"/>
                <w:sz w:val="24"/>
                <w:lang w:eastAsia="zh-CN"/>
              </w:rPr>
              <w:t>科技和工业信息化局</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书宋_GBK" w:eastAsia="方正书宋_GBK"/>
                <w:sz w:val="24"/>
              </w:rPr>
            </w:pPr>
            <w:r>
              <w:rPr>
                <w:rFonts w:hint="eastAsia" w:ascii="方正书宋_GBK" w:eastAsia="方正书宋_GBK"/>
                <w:sz w:val="24"/>
              </w:rPr>
              <w:t>单位：</w:t>
            </w:r>
            <w:r>
              <w:rPr>
                <w:rFonts w:hint="eastAsia" w:ascii="方正书宋_GBK" w:eastAsia="方正书宋_GBK"/>
                <w:sz w:val="24"/>
                <w:lang w:eastAsia="zh-CN"/>
              </w:rPr>
              <w:t>万</w:t>
            </w:r>
            <w:r>
              <w:rPr>
                <w:rFonts w:hint="eastAsia" w:ascii="方正书宋_GBK" w:eastAsia="方正书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70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29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outlineLvl w:val="1"/>
              <w:rPr>
                <w:rFonts w:ascii="Times New Roman" w:eastAsia="方正仿宋_GBK"/>
                <w:sz w:val="28"/>
              </w:rPr>
            </w:pPr>
          </w:p>
        </w:tc>
        <w:tc>
          <w:tcPr>
            <w:tcW w:w="1280" w:type="dxa"/>
            <w:vMerge w:val="continue"/>
            <w:noWrap w:val="0"/>
            <w:vAlign w:val="center"/>
          </w:tcPr>
          <w:p>
            <w:pPr>
              <w:spacing w:line="300" w:lineRule="exact"/>
              <w:jc w:val="left"/>
              <w:outlineLvl w:val="1"/>
              <w:rPr>
                <w:rFonts w:ascii="Times New Roman" w:eastAsia="方正仿宋_GBK"/>
                <w:sz w:val="28"/>
              </w:rPr>
            </w:pPr>
          </w:p>
        </w:tc>
        <w:tc>
          <w:tcPr>
            <w:tcW w:w="780" w:type="dxa"/>
            <w:vMerge w:val="continue"/>
            <w:noWrap w:val="0"/>
            <w:vAlign w:val="center"/>
          </w:tcPr>
          <w:p>
            <w:pPr>
              <w:spacing w:line="300" w:lineRule="exact"/>
              <w:jc w:val="left"/>
              <w:outlineLvl w:val="1"/>
              <w:rPr>
                <w:rFonts w:ascii="Times New Roman" w:eastAsia="方正仿宋_GBK"/>
                <w:sz w:val="28"/>
              </w:rPr>
            </w:pPr>
          </w:p>
        </w:tc>
        <w:tc>
          <w:tcPr>
            <w:tcW w:w="700" w:type="dxa"/>
            <w:vMerge w:val="continue"/>
            <w:noWrap w:val="0"/>
            <w:vAlign w:val="center"/>
          </w:tcPr>
          <w:p>
            <w:pPr>
              <w:spacing w:line="300" w:lineRule="exact"/>
              <w:jc w:val="left"/>
              <w:outlineLvl w:val="1"/>
              <w:rPr>
                <w:rFonts w:ascii="Times New Roman" w:eastAsia="方正仿宋_GBK"/>
                <w:sz w:val="28"/>
              </w:rPr>
            </w:pPr>
          </w:p>
        </w:tc>
        <w:tc>
          <w:tcPr>
            <w:tcW w:w="1294" w:type="dxa"/>
            <w:vMerge w:val="continue"/>
            <w:noWrap w:val="0"/>
            <w:vAlign w:val="center"/>
          </w:tcPr>
          <w:p>
            <w:pPr>
              <w:spacing w:line="300" w:lineRule="exact"/>
              <w:jc w:val="left"/>
              <w:outlineLvl w:val="1"/>
              <w:rPr>
                <w:rFonts w:ascii="Times New Roman" w:eastAsia="方正仿宋_GBK"/>
                <w:sz w:val="28"/>
              </w:rPr>
            </w:pPr>
          </w:p>
        </w:tc>
        <w:tc>
          <w:tcPr>
            <w:tcW w:w="1376"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892"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368"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00"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3.5</w:t>
            </w:r>
          </w:p>
        </w:tc>
        <w:tc>
          <w:tcPr>
            <w:tcW w:w="1531" w:type="dxa"/>
            <w:noWrap w:val="0"/>
            <w:vAlign w:val="center"/>
          </w:tcPr>
          <w:p>
            <w:pPr>
              <w:spacing w:line="300" w:lineRule="exact"/>
              <w:jc w:val="left"/>
              <w:rPr>
                <w:rFonts w:ascii="方正书宋_GBK" w:eastAsia="方正书宋_GBK"/>
                <w:b/>
              </w:rPr>
            </w:pPr>
          </w:p>
        </w:tc>
        <w:tc>
          <w:tcPr>
            <w:tcW w:w="1280" w:type="dxa"/>
            <w:noWrap w:val="0"/>
            <w:vAlign w:val="center"/>
          </w:tcPr>
          <w:p>
            <w:pPr>
              <w:spacing w:line="300" w:lineRule="exact"/>
              <w:jc w:val="left"/>
              <w:rPr>
                <w:rFonts w:ascii="方正书宋_GBK" w:eastAsia="方正书宋_GBK"/>
                <w:b/>
              </w:rPr>
            </w:pPr>
          </w:p>
        </w:tc>
        <w:tc>
          <w:tcPr>
            <w:tcW w:w="780" w:type="dxa"/>
            <w:noWrap w:val="0"/>
            <w:vAlign w:val="center"/>
          </w:tcPr>
          <w:p>
            <w:pPr>
              <w:spacing w:line="300" w:lineRule="exact"/>
              <w:jc w:val="center"/>
              <w:rPr>
                <w:rFonts w:ascii="方正书宋_GBK" w:eastAsia="方正书宋_GBK"/>
                <w:b/>
              </w:rPr>
            </w:pPr>
          </w:p>
        </w:tc>
        <w:tc>
          <w:tcPr>
            <w:tcW w:w="700" w:type="dxa"/>
            <w:noWrap w:val="0"/>
            <w:vAlign w:val="center"/>
          </w:tcPr>
          <w:p>
            <w:pPr>
              <w:spacing w:line="300" w:lineRule="exact"/>
              <w:jc w:val="right"/>
              <w:rPr>
                <w:rFonts w:ascii="方正书宋_GBK" w:eastAsia="方正书宋_GBK"/>
                <w:b/>
              </w:rPr>
            </w:pPr>
          </w:p>
        </w:tc>
        <w:tc>
          <w:tcPr>
            <w:tcW w:w="1294" w:type="dxa"/>
            <w:noWrap w:val="0"/>
            <w:vAlign w:val="center"/>
          </w:tcPr>
          <w:p>
            <w:pPr>
              <w:spacing w:line="300" w:lineRule="exact"/>
              <w:jc w:val="right"/>
              <w:rPr>
                <w:rFonts w:ascii="方正书宋_GBK" w:eastAsia="方正书宋_GBK"/>
                <w:b/>
              </w:rPr>
            </w:pPr>
          </w:p>
        </w:tc>
        <w:tc>
          <w:tcPr>
            <w:tcW w:w="1376" w:type="dxa"/>
            <w:noWrap w:val="0"/>
            <w:vAlign w:val="center"/>
          </w:tcPr>
          <w:p>
            <w:pPr>
              <w:spacing w:line="300" w:lineRule="exact"/>
              <w:jc w:val="right"/>
              <w:rPr>
                <w:rFonts w:hint="default" w:ascii="方正书宋_GBK" w:eastAsia="方正书宋_GBK"/>
                <w:b/>
                <w:lang w:val="en-US"/>
              </w:rPr>
            </w:pPr>
            <w:r>
              <w:rPr>
                <w:rFonts w:hint="eastAsia" w:ascii="方正书宋_GBK" w:eastAsia="方正书宋_GBK"/>
                <w:lang w:val="en-US" w:eastAsia="zh-CN"/>
              </w:rPr>
              <w:t>3.5</w:t>
            </w:r>
          </w:p>
        </w:tc>
        <w:tc>
          <w:tcPr>
            <w:tcW w:w="892"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3.5</w:t>
            </w:r>
          </w:p>
        </w:tc>
        <w:tc>
          <w:tcPr>
            <w:tcW w:w="1368" w:type="dxa"/>
            <w:noWrap w:val="0"/>
            <w:vAlign w:val="center"/>
          </w:tcPr>
          <w:p>
            <w:pPr>
              <w:spacing w:line="300" w:lineRule="exact"/>
              <w:jc w:val="right"/>
              <w:rPr>
                <w:rFonts w:ascii="方正书宋_GBK" w:eastAsia="方正书宋_GBK"/>
                <w:b/>
              </w:rPr>
            </w:pPr>
          </w:p>
        </w:tc>
        <w:tc>
          <w:tcPr>
            <w:tcW w:w="900"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eastAsia="zh-CN"/>
              </w:rPr>
              <w:t>电脑</w:t>
            </w:r>
          </w:p>
        </w:tc>
        <w:tc>
          <w:tcPr>
            <w:tcW w:w="1134"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1.86</w:t>
            </w:r>
          </w:p>
        </w:tc>
        <w:tc>
          <w:tcPr>
            <w:tcW w:w="1531" w:type="dxa"/>
            <w:noWrap w:val="0"/>
            <w:vAlign w:val="center"/>
          </w:tcPr>
          <w:p>
            <w:pPr>
              <w:spacing w:line="300" w:lineRule="exact"/>
              <w:jc w:val="left"/>
              <w:rPr>
                <w:rFonts w:hint="eastAsia" w:ascii="方正书宋_GBK" w:eastAsia="方正书宋_GBK"/>
                <w:b/>
                <w:lang w:eastAsia="zh-CN"/>
              </w:rPr>
            </w:pPr>
            <w:r>
              <w:rPr>
                <w:rFonts w:hint="eastAsia" w:ascii="方正书宋_GBK" w:eastAsia="方正书宋_GBK"/>
                <w:b/>
                <w:lang w:eastAsia="zh-CN"/>
              </w:rPr>
              <w:t>电脑</w:t>
            </w:r>
          </w:p>
        </w:tc>
        <w:tc>
          <w:tcPr>
            <w:tcW w:w="1280" w:type="dxa"/>
            <w:noWrap w:val="0"/>
            <w:vAlign w:val="center"/>
          </w:tcPr>
          <w:p>
            <w:pPr>
              <w:spacing w:line="300" w:lineRule="exact"/>
              <w:jc w:val="left"/>
              <w:rPr>
                <w:rFonts w:ascii="方正书宋_GBK" w:eastAsia="方正书宋_GBK"/>
                <w:b/>
              </w:rPr>
            </w:pPr>
          </w:p>
        </w:tc>
        <w:tc>
          <w:tcPr>
            <w:tcW w:w="780" w:type="dxa"/>
            <w:noWrap w:val="0"/>
            <w:vAlign w:val="center"/>
          </w:tcPr>
          <w:p>
            <w:pPr>
              <w:spacing w:line="300" w:lineRule="exact"/>
              <w:jc w:val="center"/>
              <w:rPr>
                <w:rFonts w:ascii="方正书宋_GBK" w:eastAsia="方正书宋_GBK"/>
                <w:b/>
              </w:rPr>
            </w:pPr>
          </w:p>
        </w:tc>
        <w:tc>
          <w:tcPr>
            <w:tcW w:w="700" w:type="dxa"/>
            <w:noWrap w:val="0"/>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w:t>
            </w:r>
          </w:p>
        </w:tc>
        <w:tc>
          <w:tcPr>
            <w:tcW w:w="1294" w:type="dxa"/>
            <w:noWrap w:val="0"/>
            <w:vAlign w:val="center"/>
          </w:tcPr>
          <w:p>
            <w:pPr>
              <w:spacing w:line="300" w:lineRule="exact"/>
              <w:jc w:val="right"/>
              <w:rPr>
                <w:rFonts w:ascii="方正书宋_GBK" w:eastAsia="方正书宋_GBK"/>
                <w:b/>
              </w:rPr>
            </w:pPr>
          </w:p>
        </w:tc>
        <w:tc>
          <w:tcPr>
            <w:tcW w:w="1376"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1.86</w:t>
            </w:r>
          </w:p>
        </w:tc>
        <w:tc>
          <w:tcPr>
            <w:tcW w:w="892" w:type="dxa"/>
            <w:noWrap w:val="0"/>
            <w:vAlign w:val="center"/>
          </w:tcPr>
          <w:p>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1.86</w:t>
            </w:r>
          </w:p>
        </w:tc>
        <w:tc>
          <w:tcPr>
            <w:tcW w:w="1368" w:type="dxa"/>
            <w:noWrap w:val="0"/>
            <w:vAlign w:val="center"/>
          </w:tcPr>
          <w:p>
            <w:pPr>
              <w:spacing w:line="300" w:lineRule="exact"/>
              <w:jc w:val="right"/>
              <w:rPr>
                <w:rFonts w:ascii="方正书宋_GBK" w:eastAsia="方正书宋_GBK"/>
                <w:b/>
              </w:rPr>
            </w:pPr>
          </w:p>
        </w:tc>
        <w:tc>
          <w:tcPr>
            <w:tcW w:w="900"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桌椅、床</w:t>
            </w:r>
          </w:p>
        </w:tc>
        <w:tc>
          <w:tcPr>
            <w:tcW w:w="1134"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1.64</w:t>
            </w:r>
          </w:p>
        </w:tc>
        <w:tc>
          <w:tcPr>
            <w:tcW w:w="1531"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桌椅、床</w:t>
            </w:r>
          </w:p>
        </w:tc>
        <w:tc>
          <w:tcPr>
            <w:tcW w:w="1280" w:type="dxa"/>
            <w:noWrap w:val="0"/>
            <w:vAlign w:val="center"/>
          </w:tcPr>
          <w:p>
            <w:pPr>
              <w:spacing w:line="300" w:lineRule="exact"/>
              <w:jc w:val="left"/>
              <w:rPr>
                <w:rFonts w:ascii="方正书宋_GBK" w:eastAsia="方正书宋_GBK"/>
              </w:rPr>
            </w:pPr>
          </w:p>
        </w:tc>
        <w:tc>
          <w:tcPr>
            <w:tcW w:w="780" w:type="dxa"/>
            <w:noWrap w:val="0"/>
            <w:vAlign w:val="center"/>
          </w:tcPr>
          <w:p>
            <w:pPr>
              <w:spacing w:line="300" w:lineRule="exact"/>
              <w:jc w:val="center"/>
              <w:rPr>
                <w:rFonts w:ascii="方正书宋_GBK" w:eastAsia="方正书宋_GBK"/>
              </w:rPr>
            </w:pPr>
          </w:p>
        </w:tc>
        <w:tc>
          <w:tcPr>
            <w:tcW w:w="700"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w:t>
            </w:r>
          </w:p>
        </w:tc>
        <w:tc>
          <w:tcPr>
            <w:tcW w:w="1294" w:type="dxa"/>
            <w:noWrap w:val="0"/>
            <w:vAlign w:val="center"/>
          </w:tcPr>
          <w:p>
            <w:pPr>
              <w:spacing w:line="300" w:lineRule="exact"/>
              <w:jc w:val="right"/>
              <w:rPr>
                <w:rFonts w:ascii="方正书宋_GBK" w:eastAsia="方正书宋_GBK"/>
              </w:rPr>
            </w:pPr>
          </w:p>
        </w:tc>
        <w:tc>
          <w:tcPr>
            <w:tcW w:w="1376"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1.64</w:t>
            </w:r>
          </w:p>
        </w:tc>
        <w:tc>
          <w:tcPr>
            <w:tcW w:w="892" w:type="dxa"/>
            <w:noWrap w:val="0"/>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1.64</w:t>
            </w:r>
          </w:p>
        </w:tc>
        <w:tc>
          <w:tcPr>
            <w:tcW w:w="1368" w:type="dxa"/>
            <w:noWrap w:val="0"/>
            <w:vAlign w:val="center"/>
          </w:tcPr>
          <w:p>
            <w:pPr>
              <w:spacing w:line="300" w:lineRule="exact"/>
              <w:jc w:val="right"/>
              <w:rPr>
                <w:rFonts w:ascii="方正书宋_GBK" w:eastAsia="方正书宋_GBK"/>
              </w:rPr>
            </w:pPr>
          </w:p>
        </w:tc>
        <w:tc>
          <w:tcPr>
            <w:tcW w:w="900"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jc w:val="left"/>
        <w:outlineLvl w:val="0"/>
        <w:rPr>
          <w:rFonts w:cs="Times New Roman"/>
        </w:rPr>
        <w:sectPr>
          <w:headerReference r:id="rId6" w:type="default"/>
          <w:footerReference r:id="rId7" w:type="default"/>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color w:val="auto"/>
          <w:sz w:val="32"/>
          <w:szCs w:val="32"/>
        </w:rPr>
      </w:pPr>
      <w:r>
        <w:rPr>
          <w:rFonts w:hint="eastAsia" w:ascii="黑体" w:hAnsi="黑体" w:eastAsia="黑体" w:cs="黑体"/>
          <w:color w:val="auto"/>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w:t>
      </w:r>
      <w:r>
        <w:rPr>
          <w:rFonts w:hint="eastAsia" w:ascii="Times New Roman" w:hAnsi="Times New Roman" w:eastAsia="仿宋" w:cs="仿宋"/>
          <w:color w:val="000000"/>
          <w:sz w:val="32"/>
          <w:szCs w:val="32"/>
          <w:lang w:eastAsia="zh-CN"/>
        </w:rPr>
        <w:t>科工局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lang w:val="en-US" w:eastAsia="zh-CN"/>
        </w:rPr>
        <w:t>20</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仿宋"/>
          <w:color w:val="000000"/>
          <w:sz w:val="32"/>
          <w:szCs w:val="32"/>
          <w:lang w:val="en-US" w:eastAsia="zh-CN"/>
        </w:rPr>
        <w:t>28.72</w:t>
      </w:r>
      <w:r>
        <w:rPr>
          <w:rFonts w:hint="eastAsia" w:ascii="Times New Roman" w:hAnsi="Times New Roman" w:eastAsia="仿宋" w:cs="仿宋"/>
          <w:color w:val="000000"/>
          <w:sz w:val="32"/>
          <w:szCs w:val="32"/>
        </w:rPr>
        <w:t>万元</w:t>
      </w:r>
      <w:r>
        <w:rPr>
          <w:rFonts w:hint="eastAsia" w:ascii="Times New Roman" w:hAnsi="Times New Roman" w:eastAsia="仿宋" w:cs="仿宋"/>
          <w:color w:val="000000"/>
          <w:sz w:val="32"/>
          <w:szCs w:val="32"/>
          <w:lang w:eastAsia="zh-CN"/>
        </w:rPr>
        <w:t>，</w:t>
      </w:r>
      <w:r>
        <w:rPr>
          <w:rFonts w:hint="eastAsia" w:ascii="Times New Roman" w:hAnsi="Times New Roman" w:eastAsia="仿宋" w:cs="仿宋"/>
          <w:color w:val="000000"/>
          <w:sz w:val="32"/>
          <w:szCs w:val="32"/>
        </w:rPr>
        <w:t>，主要为计算机、</w:t>
      </w:r>
      <w:r>
        <w:rPr>
          <w:rFonts w:hint="eastAsia" w:ascii="Times New Roman" w:hAnsi="Times New Roman" w:eastAsia="仿宋" w:cs="仿宋"/>
          <w:color w:val="000000"/>
          <w:sz w:val="32"/>
          <w:szCs w:val="32"/>
          <w:lang w:eastAsia="zh-CN"/>
        </w:rPr>
        <w:t>空调、</w:t>
      </w:r>
      <w:r>
        <w:rPr>
          <w:rFonts w:hint="eastAsia" w:ascii="Times New Roman" w:hAnsi="Times New Roman" w:eastAsia="仿宋" w:cs="仿宋"/>
          <w:color w:val="000000"/>
          <w:sz w:val="32"/>
          <w:szCs w:val="32"/>
        </w:rPr>
        <w:t>打印机等</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szCs w:val="22"/>
                <w:lang w:eastAsia="zh-CN"/>
              </w:rPr>
            </w:pPr>
            <w:r>
              <w:rPr>
                <w:rFonts w:hint="eastAsia" w:ascii="Times New Roman" w:hAnsi="Times New Roman" w:eastAsia="仿宋" w:cs="仿宋"/>
                <w:kern w:val="0"/>
                <w:sz w:val="22"/>
                <w:szCs w:val="22"/>
              </w:rPr>
              <w:t>编制部门：隆尧县</w:t>
            </w:r>
            <w:r>
              <w:rPr>
                <w:rFonts w:hint="eastAsia" w:ascii="Times New Roman" w:hAnsi="Times New Roman" w:eastAsia="仿宋" w:cs="仿宋"/>
                <w:kern w:val="0"/>
                <w:sz w:val="22"/>
                <w:szCs w:val="22"/>
                <w:lang w:eastAsia="zh-CN"/>
              </w:rPr>
              <w:t>科技和工业信息化局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w:t>
            </w:r>
            <w:r>
              <w:rPr>
                <w:rFonts w:hint="eastAsia" w:ascii="Times New Roman" w:hAnsi="Times New Roman" w:eastAsia="仿宋" w:cs="Times New Roman"/>
                <w:kern w:val="0"/>
                <w:sz w:val="22"/>
                <w:szCs w:val="22"/>
                <w:lang w:val="en-US" w:eastAsia="zh-CN"/>
              </w:rPr>
              <w:t>20</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28.72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21.39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szCs w:val="22"/>
                <w:lang w:val="en-US" w:eastAsia="zh-CN"/>
              </w:rPr>
            </w:pPr>
            <w:r>
              <w:rPr>
                <w:rFonts w:hint="eastAsia" w:ascii="Times New Roman" w:hAnsi="Times New Roman" w:eastAsia="仿宋" w:cs="Times New Roman"/>
                <w:kern w:val="0"/>
                <w:sz w:val="22"/>
                <w:szCs w:val="22"/>
                <w:lang w:val="en-US" w:eastAsia="zh-CN"/>
              </w:rPr>
              <w:t>7.</w:t>
            </w:r>
            <w:bookmarkStart w:id="13" w:name="_GoBack"/>
            <w:bookmarkEnd w:id="13"/>
            <w:r>
              <w:rPr>
                <w:rFonts w:hint="eastAsia" w:ascii="Times New Roman" w:hAnsi="Times New Roman" w:eastAsia="仿宋" w:cs="Times New Roman"/>
                <w:kern w:val="0"/>
                <w:sz w:val="22"/>
                <w:szCs w:val="22"/>
                <w:lang w:val="en-US" w:eastAsia="zh-CN"/>
              </w:rPr>
              <w:t>33</w:t>
            </w:r>
          </w:p>
        </w:tc>
      </w:tr>
    </w:tbl>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级财政预算管理的“三公”经费，是指</w:t>
      </w:r>
      <w:r>
        <w:rPr>
          <w:rFonts w:hint="eastAsia" w:ascii="Times New Roman" w:hAnsi="Times New Roman" w:eastAsia="仿宋" w:cs="仿宋"/>
          <w:sz w:val="32"/>
          <w:szCs w:val="32"/>
          <w:lang w:eastAsia="zh-CN"/>
        </w:rPr>
        <w:t>县</w:t>
      </w:r>
      <w:r>
        <w:rPr>
          <w:rFonts w:hint="eastAsia" w:ascii="Times New Roman" w:hAnsi="Times New Roman"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footnote>
  <w:footnote w:type="continuationSeparator" w:id="3">
    <w:p/>
  </w:footnote>
  <w:footnote w:id="0">
    <w:p>
      <w:pPr>
        <w:pStyle w:val="5"/>
        <w:bidi w:val="0"/>
        <w:rPr>
          <w:rStyle w:val="9"/>
          <w:rFonts w:hint="default"/>
          <w:i w:val="0"/>
          <w:iCs w:val="0"/>
          <w:u w:val="none"/>
          <w:lang w:val="en-US" w:eastAsia="zh-CN"/>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BDB7DC"/>
    <w:multiLevelType w:val="singleLevel"/>
    <w:tmpl w:val="D8BDB7DC"/>
    <w:lvl w:ilvl="0" w:tentative="0">
      <w:start w:val="2"/>
      <w:numFmt w:val="decimal"/>
      <w:suff w:val="nothing"/>
      <w:lvlText w:val="%1、"/>
      <w:lvlJc w:val="left"/>
    </w:lvl>
  </w:abstractNum>
  <w:abstractNum w:abstractNumId="1">
    <w:nsid w:val="296123B0"/>
    <w:multiLevelType w:val="singleLevel"/>
    <w:tmpl w:val="296123B0"/>
    <w:lvl w:ilvl="0" w:tentative="0">
      <w:start w:val="5"/>
      <w:numFmt w:val="decimal"/>
      <w:lvlText w:val="%1."/>
      <w:lvlJc w:val="left"/>
      <w:pPr>
        <w:tabs>
          <w:tab w:val="left" w:pos="312"/>
        </w:tabs>
      </w:pPr>
    </w:lvl>
  </w:abstractNum>
  <w:abstractNum w:abstractNumId="2">
    <w:nsid w:val="65C81AFE"/>
    <w:multiLevelType w:val="singleLevel"/>
    <w:tmpl w:val="65C81AFE"/>
    <w:lvl w:ilvl="0" w:tentative="0">
      <w:start w:val="4"/>
      <w:numFmt w:val="decimal"/>
      <w:lvlText w:val="%1."/>
      <w:lvlJc w:val="left"/>
      <w:pPr>
        <w:tabs>
          <w:tab w:val="left" w:pos="312"/>
        </w:tabs>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displayBackgroundShape w:val="1"/>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2"/>
    <w:footnote w:id="3"/>
  </w:footnotePr>
  <w:endnotePr>
    <w:endnote w:id="0"/>
    <w:endnote w:id="1"/>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yOTZmNGJiODgwM2EwZjY5NjY3NTJlODZkZjI3MTcifQ=="/>
  </w:docVars>
  <w:rsids>
    <w:rsidRoot w:val="00C67CC4"/>
    <w:rsid w:val="0000235E"/>
    <w:rsid w:val="000500EB"/>
    <w:rsid w:val="000A3E68"/>
    <w:rsid w:val="00116488"/>
    <w:rsid w:val="00155006"/>
    <w:rsid w:val="001B022C"/>
    <w:rsid w:val="00291BC6"/>
    <w:rsid w:val="002B1C9C"/>
    <w:rsid w:val="00304E90"/>
    <w:rsid w:val="003B1801"/>
    <w:rsid w:val="003F4292"/>
    <w:rsid w:val="003F5E9F"/>
    <w:rsid w:val="00444F6A"/>
    <w:rsid w:val="0046545D"/>
    <w:rsid w:val="004924AB"/>
    <w:rsid w:val="004D4AB6"/>
    <w:rsid w:val="004E1CF4"/>
    <w:rsid w:val="00523C7E"/>
    <w:rsid w:val="00556EF7"/>
    <w:rsid w:val="00565C94"/>
    <w:rsid w:val="00595DA3"/>
    <w:rsid w:val="006526A2"/>
    <w:rsid w:val="007941F0"/>
    <w:rsid w:val="008007F4"/>
    <w:rsid w:val="00877E22"/>
    <w:rsid w:val="00910F54"/>
    <w:rsid w:val="00A5050A"/>
    <w:rsid w:val="00AC0EF1"/>
    <w:rsid w:val="00AE54BB"/>
    <w:rsid w:val="00B23C13"/>
    <w:rsid w:val="00B7265D"/>
    <w:rsid w:val="00B93788"/>
    <w:rsid w:val="00BB64F1"/>
    <w:rsid w:val="00BB6A87"/>
    <w:rsid w:val="00BE26F0"/>
    <w:rsid w:val="00BF3FDC"/>
    <w:rsid w:val="00C21E7A"/>
    <w:rsid w:val="00C258A2"/>
    <w:rsid w:val="00C40AA4"/>
    <w:rsid w:val="00C67CC4"/>
    <w:rsid w:val="00CD21B1"/>
    <w:rsid w:val="00D42D52"/>
    <w:rsid w:val="00D60D94"/>
    <w:rsid w:val="00D9714A"/>
    <w:rsid w:val="00E65431"/>
    <w:rsid w:val="00E71245"/>
    <w:rsid w:val="00EC3709"/>
    <w:rsid w:val="00F541A1"/>
    <w:rsid w:val="00F73D27"/>
    <w:rsid w:val="00F76C69"/>
    <w:rsid w:val="0162402A"/>
    <w:rsid w:val="01A60451"/>
    <w:rsid w:val="02D17B65"/>
    <w:rsid w:val="08052F9B"/>
    <w:rsid w:val="08A74FD2"/>
    <w:rsid w:val="0B2F32AF"/>
    <w:rsid w:val="0C0A2FFF"/>
    <w:rsid w:val="0C834AC8"/>
    <w:rsid w:val="0D893DFF"/>
    <w:rsid w:val="0ECA7488"/>
    <w:rsid w:val="0F4116C6"/>
    <w:rsid w:val="0FA85136"/>
    <w:rsid w:val="12A71A5E"/>
    <w:rsid w:val="14F30EFA"/>
    <w:rsid w:val="199A388A"/>
    <w:rsid w:val="1A3B4221"/>
    <w:rsid w:val="1DEF12E0"/>
    <w:rsid w:val="1E650191"/>
    <w:rsid w:val="1FE9736D"/>
    <w:rsid w:val="20D73364"/>
    <w:rsid w:val="224A3FD5"/>
    <w:rsid w:val="26643477"/>
    <w:rsid w:val="2DF47F90"/>
    <w:rsid w:val="31BE384A"/>
    <w:rsid w:val="31BF08E0"/>
    <w:rsid w:val="36B4441C"/>
    <w:rsid w:val="37B96130"/>
    <w:rsid w:val="3ACA0D8E"/>
    <w:rsid w:val="3EC012BB"/>
    <w:rsid w:val="3EC733E3"/>
    <w:rsid w:val="3FE74292"/>
    <w:rsid w:val="401E38F3"/>
    <w:rsid w:val="40E078F2"/>
    <w:rsid w:val="42C97080"/>
    <w:rsid w:val="46594DB9"/>
    <w:rsid w:val="48A031DD"/>
    <w:rsid w:val="48C8592C"/>
    <w:rsid w:val="49DB4A9D"/>
    <w:rsid w:val="49E85F96"/>
    <w:rsid w:val="53101FC9"/>
    <w:rsid w:val="5488360D"/>
    <w:rsid w:val="581F06AE"/>
    <w:rsid w:val="587B23BE"/>
    <w:rsid w:val="588434E2"/>
    <w:rsid w:val="5CB16CA0"/>
    <w:rsid w:val="5D3125C7"/>
    <w:rsid w:val="5E7A1FF3"/>
    <w:rsid w:val="5F0D3160"/>
    <w:rsid w:val="65611C65"/>
    <w:rsid w:val="6AD571F1"/>
    <w:rsid w:val="6AE5671B"/>
    <w:rsid w:val="6B786CD0"/>
    <w:rsid w:val="6F5306EF"/>
    <w:rsid w:val="6F8229F2"/>
    <w:rsid w:val="6FC458AF"/>
    <w:rsid w:val="71435751"/>
    <w:rsid w:val="74E044A8"/>
    <w:rsid w:val="76954487"/>
    <w:rsid w:val="76BA5960"/>
    <w:rsid w:val="7AE97935"/>
    <w:rsid w:val="7B1152DA"/>
    <w:rsid w:val="7C9516CB"/>
    <w:rsid w:val="7F1001DA"/>
    <w:rsid w:val="7F3379E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1"/>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5"/>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page number"/>
    <w:basedOn w:val="8"/>
    <w:qFormat/>
    <w:uiPriority w:val="99"/>
    <w:rPr>
      <w:rFonts w:cs="Times New Roman"/>
    </w:rPr>
  </w:style>
  <w:style w:type="character" w:styleId="10">
    <w:name w:val="footnote reference"/>
    <w:basedOn w:val="8"/>
    <w:semiHidden/>
    <w:qFormat/>
    <w:uiPriority w:val="99"/>
    <w:rPr>
      <w:vertAlign w:val="superscript"/>
    </w:rPr>
  </w:style>
  <w:style w:type="character" w:customStyle="1" w:styleId="11">
    <w:name w:val="Footer Char"/>
    <w:basedOn w:val="8"/>
    <w:link w:val="2"/>
    <w:semiHidden/>
    <w:qFormat/>
    <w:locked/>
    <w:uiPriority w:val="99"/>
    <w:rPr>
      <w:rFonts w:ascii="Times New Roman" w:hAnsi="Times New Roman" w:eastAsia="宋体" w:cs="Times New Roman"/>
      <w:sz w:val="18"/>
      <w:szCs w:val="18"/>
    </w:rPr>
  </w:style>
  <w:style w:type="character" w:customStyle="1" w:styleId="12">
    <w:name w:val="Header Char"/>
    <w:basedOn w:val="8"/>
    <w:link w:val="3"/>
    <w:semiHidden/>
    <w:qFormat/>
    <w:locked/>
    <w:uiPriority w:val="99"/>
    <w:rPr>
      <w:rFonts w:ascii="Times New Roman" w:hAnsi="Times New Roman" w:eastAsia="宋体" w:cs="Times New Roman"/>
      <w:sz w:val="18"/>
      <w:szCs w:val="18"/>
    </w:rPr>
  </w:style>
  <w:style w:type="character" w:customStyle="1" w:styleId="13">
    <w:name w:val="Footnote Text Char"/>
    <w:basedOn w:val="8"/>
    <w:link w:val="5"/>
    <w:semiHidden/>
    <w:qFormat/>
    <w:locked/>
    <w:uiPriority w:val="99"/>
    <w:rPr>
      <w:rFonts w:ascii="Calibri" w:hAnsi="Calibri" w:cs="Calibri"/>
      <w:sz w:val="18"/>
      <w:szCs w:val="18"/>
    </w:rPr>
  </w:style>
  <w:style w:type="paragraph" w:customStyle="1" w:styleId="14">
    <w:name w:val="Char"/>
    <w:basedOn w:val="1"/>
    <w:qFormat/>
    <w:uiPriority w:val="99"/>
    <w:rPr>
      <w:rFonts w:ascii="Times New Roman" w:hAnsi="Times New Roman" w:cs="Times New Roman"/>
    </w:rPr>
  </w:style>
  <w:style w:type="character" w:customStyle="1" w:styleId="15">
    <w:name w:val="Footnote Text Char1"/>
    <w:basedOn w:val="8"/>
    <w:link w:val="5"/>
    <w:semiHidden/>
    <w:qFormat/>
    <w:locked/>
    <w:uiPriority w:val="99"/>
    <w:rPr>
      <w:rFonts w:ascii="Calibri" w:hAnsi="Calibri" w:eastAsia="宋体" w:cs="Calibri"/>
      <w:kern w:val="2"/>
      <w:sz w:val="18"/>
      <w:szCs w:val="18"/>
      <w:lang w:val="en-US" w:eastAsia="zh-CN"/>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ntTable.xml" Type="http://schemas.openxmlformats.org/officeDocument/2006/relationships/fontTable"/><Relationship Id="rId2" Target="settings.xml" Type="http://schemas.openxmlformats.org/officeDocument/2006/relationships/settings"/><Relationship Id="rId3" Target="footnotes.xml" Type="http://schemas.openxmlformats.org/officeDocument/2006/relationships/footnotes"/><Relationship Id="rId4" Target="endnotes.xml" Type="http://schemas.openxmlformats.org/officeDocument/2006/relationships/endnotes"/><Relationship Id="rId5" Target="header1.xml" Type="http://schemas.openxmlformats.org/officeDocument/2006/relationships/header"/><Relationship Id="rId6" Target="header2.xml" Type="http://schemas.openxmlformats.org/officeDocument/2006/relationships/header"/><Relationship Id="rId7" Target="footer1.xml" Type="http://schemas.openxmlformats.org/officeDocument/2006/relationships/footer"/><Relationship Id="rId8" Target="theme/theme1.xml" Type="http://schemas.openxmlformats.org/officeDocument/2006/relationships/theme"/><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微软中国</Company>
  <Pages>23</Pages>
  <Words>7213</Words>
  <Characters>8074</Characters>
  <Lines>0</Lines>
  <Paragraphs>0</Paragraphs>
  <TotalTime>6</TotalTime>
  <ScaleCrop>false</ScaleCrop>
  <LinksUpToDate>false</LinksUpToDate>
  <CharactersWithSpaces>8124</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2017-01-23T09:29:00Z</dcterms:created>
  <dc:creator>guest</dc:creator>
  <cp:lastModifiedBy>Administrator</cp:lastModifiedBy>
  <cp:lastPrinted>2022-09-01T06:43:00Z</cp:lastPrinted>
  <dcterms:modified xsi:type="dcterms:W3CDTF">2022-09-06T07:23:47Z</dcterms:modified>
  <cp:revision>19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5DD935B0C7FD44159C16CD8D47B2E456</vt:lpwstr>
  </property>
</Properties>
</file>