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firstLine="3080" w:firstLineChars="700"/>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隆尧县供销合作社</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2021</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按照《预算法》、《地方预决算公开操作规程》和《河北省省级预算公开办法》规定，现将隆尧县供销合作社</w:t>
      </w:r>
      <w:r>
        <w:rPr>
          <w:rFonts w:ascii="仿宋" w:hAnsi="仿宋" w:eastAsia="仿宋" w:cs="仿宋"/>
          <w:sz w:val="32"/>
          <w:szCs w:val="32"/>
        </w:rPr>
        <w:t>2021</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hint="eastAsia"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隆尧县供销合作社为隆尧县政府管理的相当正科级事业单位。</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color w:val="000000"/>
          <w:kern w:val="0"/>
          <w:sz w:val="24"/>
          <w:szCs w:val="24"/>
        </w:rPr>
        <w:t>1</w:t>
      </w:r>
      <w:r>
        <w:rPr>
          <w:rFonts w:hint="eastAsia" w:ascii="仿宋" w:hAnsi="仿宋" w:eastAsia="仿宋" w:cs="仿宋"/>
          <w:sz w:val="32"/>
          <w:szCs w:val="32"/>
        </w:rPr>
        <w:t>）负责贯彻执行中央、省市有关农村经济工作和社会发展的方针、政策，执行政府授权的管理职能，指导和布局农村经济发展，沟通城乡物资交流，协助工商部门管理好农村市场，指导供销合作社的改革和发展，向政府和有关部门反应农民的意见和要求。</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2</w:t>
      </w:r>
      <w:r>
        <w:rPr>
          <w:rFonts w:hint="eastAsia" w:ascii="仿宋" w:hAnsi="仿宋" w:eastAsia="仿宋" w:cs="仿宋"/>
          <w:sz w:val="32"/>
          <w:szCs w:val="32"/>
        </w:rPr>
        <w:t>）为农业生产服务。按政府授权，对重要的农业生产资料实施管理，组织和协调，草拟制定管理办法。</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3</w:t>
      </w:r>
      <w:r>
        <w:rPr>
          <w:rFonts w:hint="eastAsia" w:ascii="仿宋" w:hAnsi="仿宋" w:eastAsia="仿宋" w:cs="仿宋"/>
          <w:sz w:val="32"/>
          <w:szCs w:val="32"/>
        </w:rPr>
        <w:t>）为农村和农民服务。建立和逐步完善综合服务体系，为发展农村经济，为发展“三高”农业提供产前、产中、产后的服务。</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4</w:t>
      </w:r>
      <w:r>
        <w:rPr>
          <w:rFonts w:hint="eastAsia" w:ascii="仿宋" w:hAnsi="仿宋" w:eastAsia="仿宋" w:cs="仿宋"/>
          <w:sz w:val="32"/>
          <w:szCs w:val="32"/>
        </w:rPr>
        <w:t>）对废旧物资回收和烟花炮竹工作实施管理，核发特种行业经营许可证，配合公安部门对废旧物资经营点和烟花炮竹经营点进行检查，堵塞治安漏洞。</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5</w:t>
      </w:r>
      <w:r>
        <w:rPr>
          <w:rFonts w:hint="eastAsia" w:ascii="仿宋" w:hAnsi="仿宋" w:eastAsia="仿宋" w:cs="仿宋"/>
          <w:sz w:val="32"/>
          <w:szCs w:val="32"/>
        </w:rPr>
        <w:t>）受政府委托，宣传国家关于食用碘盐的政策和要求，配合卫生、工商、盐业管理部门管好食盐和工业用盐市场，防止私盐流入。</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6</w:t>
      </w:r>
      <w:r>
        <w:rPr>
          <w:rFonts w:hint="eastAsia" w:ascii="仿宋" w:hAnsi="仿宋" w:eastAsia="仿宋" w:cs="仿宋"/>
          <w:sz w:val="32"/>
          <w:szCs w:val="32"/>
        </w:rPr>
        <w:t>）负责制定供销合作社的发展战略和中长期发展规划、经营网点及大型商场的设置规划、固定资产项目投资规划。</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7</w:t>
      </w:r>
      <w:r>
        <w:rPr>
          <w:rFonts w:hint="eastAsia" w:ascii="仿宋" w:hAnsi="仿宋" w:eastAsia="仿宋" w:cs="仿宋"/>
          <w:sz w:val="32"/>
          <w:szCs w:val="32"/>
        </w:rPr>
        <w:t>）参与系统的各项活动，组织对外、对内经济贸易、技术交流，促进供销社的发展。</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8</w:t>
      </w:r>
      <w:r>
        <w:rPr>
          <w:rFonts w:hint="eastAsia" w:ascii="仿宋" w:hAnsi="仿宋" w:eastAsia="仿宋" w:cs="仿宋"/>
          <w:sz w:val="32"/>
          <w:szCs w:val="32"/>
        </w:rPr>
        <w:t>）管理直属单位资产、行使集体资产所有者代表和管理者的职能，指导基层社管好其所属的社有资产，理顺和化解债权债务，防止社有资产流失。</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9</w:t>
      </w:r>
      <w:r>
        <w:rPr>
          <w:rFonts w:hint="eastAsia" w:ascii="仿宋" w:hAnsi="仿宋" w:eastAsia="仿宋" w:cs="仿宋"/>
          <w:sz w:val="32"/>
          <w:szCs w:val="32"/>
        </w:rPr>
        <w:t>）负责“三防”抢险物资的组织、储备和供应工作。</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6"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2" w:hRule="atLeast"/>
          <w:jc w:val="center"/>
        </w:trPr>
        <w:tc>
          <w:tcPr>
            <w:tcW w:w="4417" w:type="dxa"/>
            <w:vAlign w:val="center"/>
          </w:tcPr>
          <w:p>
            <w:pPr>
              <w:spacing w:line="300" w:lineRule="exact"/>
              <w:jc w:val="center"/>
              <w:rPr>
                <w:rFonts w:ascii="Times New Roman" w:hAnsi="Times New Roman" w:eastAsia="方正书宋_GBK" w:cs="Times New Roman"/>
              </w:rPr>
            </w:pPr>
            <w:r>
              <w:rPr>
                <w:rFonts w:hint="eastAsia" w:ascii="仿宋" w:hAnsi="仿宋" w:eastAsia="仿宋" w:cs="仿宋"/>
              </w:rPr>
              <w:t>隆尧县供销合作社</w:t>
            </w:r>
          </w:p>
        </w:tc>
        <w:tc>
          <w:tcPr>
            <w:tcW w:w="1134" w:type="dxa"/>
            <w:vAlign w:val="center"/>
          </w:tcPr>
          <w:p>
            <w:pPr>
              <w:spacing w:line="300" w:lineRule="exact"/>
              <w:jc w:val="center"/>
              <w:rPr>
                <w:rFonts w:ascii="Times New Roman" w:hAnsi="Times New Roman" w:eastAsia="方正书宋_GBK" w:cs="Times New Roman"/>
              </w:rPr>
            </w:pPr>
            <w:r>
              <w:rPr>
                <w:rFonts w:hint="eastAsia" w:ascii="仿宋" w:hAnsi="仿宋" w:eastAsia="仿宋" w:cs="仿宋"/>
              </w:rPr>
              <w:t>事业</w:t>
            </w:r>
          </w:p>
        </w:tc>
        <w:tc>
          <w:tcPr>
            <w:tcW w:w="1276" w:type="dxa"/>
            <w:vAlign w:val="center"/>
          </w:tcPr>
          <w:p>
            <w:pPr>
              <w:spacing w:line="300" w:lineRule="exact"/>
              <w:jc w:val="center"/>
              <w:rPr>
                <w:rFonts w:ascii="Times New Roman" w:hAnsi="Times New Roman" w:eastAsia="方正书宋_GBK" w:cs="Times New Roman"/>
              </w:rPr>
            </w:pPr>
            <w:r>
              <w:rPr>
                <w:rFonts w:hint="eastAsia" w:ascii="仿宋" w:hAnsi="仿宋" w:eastAsia="仿宋" w:cs="仿宋"/>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仿宋" w:hAnsi="仿宋" w:eastAsia="仿宋" w:cs="仿宋"/>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部门预算的编制实行综合预算管理，即全部收入和支出都反映的预算中。隆尧县供销合作社的所有收支在部门预算中。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2021</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239.25</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239.25</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收支预算总表支出栏、基本支出表、项目支出表按经济分类和支出功能分类科目编制，反映隆尧县供销合作社年度部门预算中支出预算的总体情况。</w:t>
      </w:r>
      <w:r>
        <w:rPr>
          <w:rFonts w:ascii="Times New Roman" w:hAnsi="Times New Roman" w:eastAsia="仿宋" w:cs="Times New Roman"/>
          <w:sz w:val="32"/>
          <w:szCs w:val="32"/>
        </w:rPr>
        <w:t>2021</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239.25</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230.99</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208.88</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22.11</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8.26</w:t>
      </w:r>
      <w:r>
        <w:rPr>
          <w:rFonts w:hint="eastAsia" w:ascii="Times New Roman" w:hAnsi="Times New Roman" w:eastAsia="仿宋" w:cs="仿宋"/>
          <w:sz w:val="32"/>
          <w:szCs w:val="32"/>
        </w:rPr>
        <w:t>万元，主要为合作组织培训经费支出</w:t>
      </w:r>
      <w:r>
        <w:rPr>
          <w:rFonts w:ascii="Times New Roman" w:hAnsi="Times New Roman" w:eastAsia="仿宋" w:cs="Times New Roman"/>
          <w:sz w:val="32"/>
          <w:szCs w:val="32"/>
        </w:rPr>
        <w:t>3</w:t>
      </w:r>
      <w:r>
        <w:rPr>
          <w:rFonts w:hint="eastAsia" w:ascii="Times New Roman" w:hAnsi="Times New Roman" w:eastAsia="仿宋" w:cs="仿宋"/>
          <w:sz w:val="32"/>
          <w:szCs w:val="32"/>
        </w:rPr>
        <w:t>万元，农村产权交易市场支出</w:t>
      </w:r>
      <w:r>
        <w:rPr>
          <w:rFonts w:ascii="Times New Roman" w:hAnsi="Times New Roman" w:eastAsia="仿宋" w:cs="Times New Roman"/>
          <w:sz w:val="32"/>
          <w:szCs w:val="32"/>
        </w:rPr>
        <w:t>2</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退役军人转岗</w:t>
      </w:r>
      <w:r>
        <w:rPr>
          <w:rFonts w:ascii="Times New Roman" w:hAnsi="Times New Roman" w:eastAsia="仿宋" w:cs="Times New Roman"/>
          <w:sz w:val="32"/>
          <w:szCs w:val="32"/>
        </w:rPr>
        <w:t>3.26</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2021</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color w:val="000000"/>
          <w:sz w:val="32"/>
          <w:szCs w:val="32"/>
        </w:rPr>
        <w:t>239.25</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2020</w:t>
      </w:r>
      <w:r>
        <w:rPr>
          <w:rFonts w:hint="eastAsia" w:ascii="Times New Roman" w:hAnsi="Times New Roman" w:eastAsia="仿宋" w:cs="仿宋"/>
          <w:sz w:val="32"/>
          <w:szCs w:val="32"/>
        </w:rPr>
        <w:t>年减少</w:t>
      </w:r>
      <w:r>
        <w:rPr>
          <w:rFonts w:ascii="Times New Roman" w:hAnsi="Times New Roman" w:eastAsia="仿宋" w:cs="Times New Roman"/>
          <w:sz w:val="32"/>
          <w:szCs w:val="32"/>
        </w:rPr>
        <w:t>24</w:t>
      </w:r>
      <w:r>
        <w:rPr>
          <w:rFonts w:hint="eastAsia" w:ascii="Times New Roman" w:hAnsi="Times New Roman" w:eastAsia="仿宋" w:cs="仿宋"/>
          <w:sz w:val="32"/>
          <w:szCs w:val="32"/>
        </w:rPr>
        <w:t>万元，其中：基本支出减少</w:t>
      </w:r>
      <w:r>
        <w:rPr>
          <w:rFonts w:ascii="Times New Roman" w:hAnsi="Times New Roman" w:eastAsia="仿宋" w:cs="Times New Roman"/>
          <w:sz w:val="32"/>
          <w:szCs w:val="32"/>
        </w:rPr>
        <w:t>27.26</w:t>
      </w:r>
      <w:r>
        <w:rPr>
          <w:rFonts w:hint="eastAsia" w:ascii="Times New Roman" w:hAnsi="Times New Roman" w:eastAsia="仿宋" w:cs="仿宋"/>
          <w:sz w:val="32"/>
          <w:szCs w:val="32"/>
        </w:rPr>
        <w:t>万元，主要是人员经减少；公用经费增加</w:t>
      </w:r>
      <w:r>
        <w:rPr>
          <w:rFonts w:ascii="Times New Roman" w:hAnsi="Times New Roman" w:eastAsia="仿宋" w:cs="Times New Roman"/>
          <w:sz w:val="32"/>
          <w:szCs w:val="32"/>
        </w:rPr>
        <w:t>3.92</w:t>
      </w:r>
      <w:r>
        <w:rPr>
          <w:rFonts w:hint="eastAsia" w:ascii="Times New Roman" w:hAnsi="Times New Roman" w:eastAsia="仿宋" w:cs="仿宋"/>
          <w:sz w:val="32"/>
          <w:szCs w:val="32"/>
        </w:rPr>
        <w:t>万元；项目支出增加</w:t>
      </w:r>
      <w:r>
        <w:rPr>
          <w:rFonts w:ascii="Times New Roman" w:hAnsi="Times New Roman" w:eastAsia="仿宋" w:cs="Times New Roman"/>
          <w:sz w:val="32"/>
          <w:szCs w:val="32"/>
        </w:rPr>
        <w:t>3.26</w:t>
      </w:r>
      <w:r>
        <w:rPr>
          <w:rFonts w:hint="eastAsia" w:ascii="Times New Roman" w:hAnsi="Times New Roman" w:eastAsia="仿宋" w:cs="仿宋"/>
          <w:sz w:val="32"/>
          <w:szCs w:val="32"/>
        </w:rPr>
        <w:t>万元，主要是增加退役军人专岗。</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2021</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11.5</w:t>
      </w:r>
      <w:r>
        <w:rPr>
          <w:rFonts w:hint="eastAsia" w:ascii="Times New Roman" w:hAnsi="Times New Roman" w:eastAsia="仿宋" w:cs="仿宋"/>
          <w:sz w:val="32"/>
          <w:szCs w:val="32"/>
        </w:rPr>
        <w:t>万元，主要用于保证机关正常运转的办公费、电费、水费、邮电费、福利费、工会经费、党活动经费等支出。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万元。“三公”经费与上年减少，因公车改革，取消公车。</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00" w:firstLineChars="200"/>
        <w:jc w:val="left"/>
        <w:rPr>
          <w:rFonts w:ascii="Times New Roman" w:hAnsi="Times New Roman" w:eastAsia="仿宋" w:cs="Times New Roman"/>
          <w:b w:val="0"/>
          <w:bCs w:val="0"/>
          <w:sz w:val="30"/>
          <w:szCs w:val="30"/>
        </w:rPr>
      </w:pPr>
      <w:bookmarkStart w:id="0" w:name="_Toc471398463"/>
      <w:r>
        <w:rPr>
          <w:rFonts w:hint="eastAsia" w:ascii="Times New Roman" w:hAnsi="Times New Roman" w:eastAsia="方正仿宋_GBK" w:cs="方正仿宋_GBK"/>
          <w:b w:val="0"/>
          <w:bCs w:val="0"/>
          <w:sz w:val="30"/>
          <w:szCs w:val="30"/>
        </w:rPr>
        <w:t>第一部分</w:t>
      </w:r>
      <w:r>
        <w:rPr>
          <w:rFonts w:ascii="Times New Roman" w:hAnsi="Times New Roman" w:eastAsia="方正仿宋_GBK" w:cs="Times New Roman"/>
          <w:b w:val="0"/>
          <w:bCs w:val="0"/>
          <w:sz w:val="30"/>
          <w:szCs w:val="30"/>
        </w:rPr>
        <w:t xml:space="preserve">  </w:t>
      </w:r>
      <w:r>
        <w:rPr>
          <w:rFonts w:hint="eastAsia" w:ascii="Times New Roman" w:hAnsi="Times New Roman" w:eastAsia="方正仿宋_GBK" w:cs="方正仿宋_GBK"/>
          <w:b w:val="0"/>
          <w:bCs w:val="0"/>
          <w:sz w:val="30"/>
          <w:szCs w:val="30"/>
        </w:rPr>
        <w:t>部门整体绩效目标</w:t>
      </w:r>
    </w:p>
    <w:p>
      <w:pPr>
        <w:autoSpaceDE w:val="0"/>
        <w:autoSpaceDN w:val="0"/>
        <w:adjustRightInd w:val="0"/>
        <w:ind w:left="198" w:firstLine="600" w:firstLineChars="200"/>
        <w:jc w:val="left"/>
        <w:rPr>
          <w:rFonts w:ascii="Times New Roman" w:hAnsi="Times New Roman" w:eastAsia="方正仿宋_GBK" w:cs="Times New Roman"/>
          <w:b w:val="0"/>
          <w:bCs w:val="0"/>
          <w:sz w:val="30"/>
          <w:szCs w:val="30"/>
        </w:rPr>
      </w:pPr>
      <w:r>
        <w:rPr>
          <w:rFonts w:hint="eastAsia" w:ascii="Times New Roman" w:hAnsi="Times New Roman" w:eastAsia="方正仿宋_GBK" w:cs="方正仿宋_GBK"/>
          <w:b w:val="0"/>
          <w:bCs w:val="0"/>
          <w:sz w:val="30"/>
          <w:szCs w:val="30"/>
        </w:rPr>
        <w:t>（一）总体绩效目标</w:t>
      </w:r>
      <w:r>
        <w:rPr>
          <w:rFonts w:ascii="Times New Roman" w:hAnsi="Times New Roman" w:eastAsia="方正仿宋_GBK" w:cs="方正仿宋_GBK"/>
          <w:b w:val="0"/>
          <w:bCs w:val="0"/>
          <w:sz w:val="30"/>
          <w:szCs w:val="30"/>
        </w:rPr>
        <w:fldChar w:fldCharType="begin"/>
      </w:r>
      <w:r>
        <w:rPr>
          <w:rFonts w:ascii="Times New Roman" w:hAnsi="Times New Roman" w:eastAsia="方正仿宋_GBK" w:cs="Times New Roman"/>
          <w:b w:val="0"/>
          <w:bCs w:val="0"/>
          <w:sz w:val="30"/>
          <w:szCs w:val="30"/>
        </w:rPr>
        <w:instrText xml:space="preserve">tc "</w:instrText>
      </w:r>
      <w:bookmarkStart w:id="1" w:name="_Toc29484628"/>
      <w:r>
        <w:rPr>
          <w:rFonts w:hint="eastAsia" w:ascii="Times New Roman" w:hAnsi="Times New Roman" w:eastAsia="方正仿宋_GBK" w:cs="方正仿宋_GBK"/>
          <w:b w:val="0"/>
          <w:bCs w:val="0"/>
          <w:sz w:val="30"/>
          <w:szCs w:val="30"/>
        </w:rPr>
        <w:instrText xml:space="preserve">总体绩效目标</w:instrText>
      </w:r>
      <w:bookmarkEnd w:id="1"/>
      <w:r>
        <w:rPr>
          <w:rFonts w:ascii="Times New Roman" w:hAnsi="Times New Roman" w:eastAsia="方正仿宋_GBK" w:cs="Times New Roman"/>
          <w:b w:val="0"/>
          <w:bCs w:val="0"/>
          <w:sz w:val="30"/>
          <w:szCs w:val="30"/>
        </w:rPr>
        <w:instrText xml:space="preserve">" \f A \l 00000000001</w:instrText>
      </w:r>
      <w:r>
        <w:rPr>
          <w:rFonts w:ascii="Times New Roman" w:hAnsi="Times New Roman" w:eastAsia="方正仿宋_GBK" w:cs="方正仿宋_GBK"/>
          <w:b w:val="0"/>
          <w:bCs w:val="0"/>
          <w:sz w:val="30"/>
          <w:szCs w:val="30"/>
        </w:rPr>
        <w:fldChar w:fldCharType="end"/>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一、推进农村产权流转交易工作。</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二、继续推进基层供销社改革。</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三、开展农业技术培训。</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四、扩大农业规模化服务。</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五、加强社有资产管理。</w:t>
      </w:r>
    </w:p>
    <w:p>
      <w:pPr>
        <w:autoSpaceDE w:val="0"/>
        <w:autoSpaceDN w:val="0"/>
        <w:adjustRightInd w:val="0"/>
        <w:ind w:left="198" w:firstLine="600" w:firstLineChars="200"/>
        <w:jc w:val="left"/>
        <w:rPr>
          <w:rFonts w:hint="eastAsia" w:ascii="Times New Roman" w:hAnsi="Times New Roman" w:eastAsia="方正仿宋_GBK" w:cs="方正仿宋_GBK"/>
          <w:b w:val="0"/>
          <w:bCs w:val="0"/>
          <w:sz w:val="30"/>
          <w:szCs w:val="30"/>
        </w:rPr>
      </w:pPr>
      <w:r>
        <w:rPr>
          <w:rFonts w:hint="eastAsia" w:ascii="Times New Roman" w:hAnsi="Times New Roman" w:eastAsia="方正仿宋_GBK" w:cs="方正仿宋_GBK"/>
          <w:b w:val="0"/>
          <w:bCs w:val="0"/>
          <w:sz w:val="30"/>
          <w:szCs w:val="30"/>
        </w:rPr>
        <w:t>（二）分项绩效目标</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以深化供销社综合改革为契机，以夯基础、增实力、强服务为主线，发挥供销社的组织、人员、资产、网络优势，加强资产管理、健全经营体系、提升服务水平，增强服务乡村振兴的能力。</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一、推进农村产权流转交易工作。进一步扩大乡镇村农村产权服务站点覆盖面，加强农村产权服务人员理论和业务素质，加强农村产权流转交易宣传，推动农村产权流转交易应进必进、能进则进，实现产权交易额新突破（时间期限：2021年底）。</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二、继续推进基层供销社改革。按照组织机构健全、经营设施完善、服务功能广泛的要求，通过创新经营服务，增强基层供销社的综合实力，提升基层供销社形象，增加效益。（2021全年）。</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三、开展农业技术培训。利用好现有培训资源，使用好财政培训资金，紧贴农业生产实际需要，有针对性的举办农民培训班，全年培训农民超过1000人次（时间期限：全年）。</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四、扩大农业规模化服务。发挥供销社农资企业、规模型农民合作社的龙头作用，完成市社下达的土地托管半托管任务（时间期限：2021年底）。</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五、加强社有资产管理。完善资产购置、出租、合作审批流程，健全下属企业、基层社的财务监管，进一步提高供销社资产经营效益。同时，推动油棉二厂、固城供销社土地资产开发（时间期限：全年）。</w:t>
      </w:r>
    </w:p>
    <w:p>
      <w:pPr>
        <w:autoSpaceDE w:val="0"/>
        <w:autoSpaceDN w:val="0"/>
        <w:adjustRightInd w:val="0"/>
        <w:ind w:left="198" w:firstLine="600" w:firstLineChars="200"/>
        <w:jc w:val="left"/>
        <w:rPr>
          <w:rFonts w:hint="eastAsia" w:ascii="Times New Roman" w:hAnsi="Times New Roman" w:eastAsia="方正仿宋_GBK" w:cs="方正仿宋_GBK"/>
          <w:b w:val="0"/>
          <w:bCs w:val="0"/>
          <w:sz w:val="30"/>
          <w:szCs w:val="30"/>
        </w:rPr>
      </w:pPr>
      <w:r>
        <w:rPr>
          <w:rFonts w:hint="eastAsia" w:ascii="Times New Roman" w:hAnsi="Times New Roman" w:eastAsia="方正仿宋_GBK" w:cs="方正仿宋_GBK"/>
          <w:b w:val="0"/>
          <w:bCs w:val="0"/>
          <w:sz w:val="30"/>
          <w:szCs w:val="30"/>
        </w:rPr>
        <w:t>（三）工作保障措施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、加强宣传培训。加强人员培训，加大宣传力度，强化预算绩效管理意识，促进预算绩效管理水平提升。</w:t>
      </w:r>
    </w:p>
    <w:p>
      <w:pPr>
        <w:autoSpaceDE w:val="0"/>
        <w:autoSpaceDN w:val="0"/>
        <w:adjustRightInd w:val="0"/>
        <w:ind w:firstLine="60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val="0"/>
          <w:bCs w:val="0"/>
          <w:sz w:val="30"/>
          <w:szCs w:val="30"/>
        </w:rPr>
        <w:t>第二部分  预算项目绩效目标</w:t>
      </w:r>
    </w:p>
    <w:p>
      <w:pPr>
        <w:ind w:firstLine="560" w:firstLineChars="200"/>
        <w:jc w:val="left"/>
        <w:outlineLvl w:val="3"/>
        <w:rPr>
          <w:rFonts w:ascii="Times New Roman" w:hAnsi="宋体" w:cs="Times New Roman"/>
          <w:b/>
          <w:bCs/>
          <w:sz w:val="28"/>
          <w:szCs w:val="28"/>
        </w:rPr>
      </w:pPr>
      <w:r>
        <w:rPr>
          <w:rFonts w:ascii="方正仿宋_GBK" w:eastAsia="方正仿宋_GBK" w:cs="方正仿宋_GBK"/>
          <w:b/>
          <w:bCs/>
          <w:sz w:val="28"/>
          <w:szCs w:val="28"/>
        </w:rPr>
        <w:t xml:space="preserve">  </w:t>
      </w:r>
      <w:bookmarkStart w:id="2" w:name="_Toc66090894"/>
      <w:r>
        <w:rPr>
          <w:rFonts w:ascii="方正仿宋_GBK" w:eastAsia="方正仿宋_GBK" w:cs="方正仿宋_GBK"/>
          <w:b/>
          <w:bCs/>
          <w:sz w:val="28"/>
          <w:szCs w:val="28"/>
        </w:rPr>
        <w:t>1.</w:t>
      </w:r>
      <w:r>
        <w:rPr>
          <w:rFonts w:hint="eastAsia" w:ascii="方正仿宋_GBK" w:eastAsia="方正仿宋_GBK" w:cs="方正仿宋_GBK"/>
          <w:b/>
          <w:bCs/>
          <w:sz w:val="28"/>
          <w:szCs w:val="28"/>
        </w:rPr>
        <w:t>合作组织培训经费绩效目标表</w:t>
      </w:r>
      <w:bookmarkEnd w:id="2"/>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r>
        <w:rPr>
          <w:rFonts w:ascii="方正仿宋_GBK" w:eastAsia="方正仿宋_GBK" w:cs="方正仿宋_GBK"/>
          <w:b/>
          <w:bCs/>
          <w:sz w:val="28"/>
          <w:szCs w:val="28"/>
        </w:rPr>
        <w:instrText xml:space="preserve">1</w:instrText>
      </w:r>
      <w:r>
        <w:rPr>
          <w:rFonts w:hint="eastAsia" w:ascii="方正仿宋_GBK" w:eastAsia="方正仿宋_GBK" w:cs="方正仿宋_GBK"/>
          <w:b/>
          <w:bCs/>
          <w:sz w:val="28"/>
          <w:szCs w:val="28"/>
        </w:rPr>
        <w:instrText xml:space="preserve">、合作组织培训经费绩效目标表</w:instrText>
      </w:r>
      <w:r>
        <w:rPr>
          <w:rFonts w:ascii="方正仿宋_GBK" w:eastAsia="方正仿宋_GBK" w:cs="Times New Roman"/>
          <w:b/>
          <w:bCs/>
          <w:sz w:val="28"/>
          <w:szCs w:val="28"/>
        </w:rPr>
        <w:instrText xml:space="preserve">" \f C \l 0</w:instrText>
      </w:r>
      <w:r>
        <w:rPr>
          <w:rFonts w:ascii="方正仿宋_GBK" w:eastAsia="方正仿宋_GBK" w:cs="方正仿宋_GBK"/>
          <w:b/>
          <w:bCs/>
          <w:sz w:val="28"/>
          <w:szCs w:val="28"/>
        </w:rPr>
        <w:instrText xml:space="preserve">001</w:instrText>
      </w:r>
      <w:r>
        <w:rPr>
          <w:rFonts w:ascii="方正仿宋_GBK" w:eastAsia="方正仿宋_GBK" w:cs="方正仿宋_GBK"/>
          <w:b/>
          <w:bCs/>
          <w:sz w:val="28"/>
          <w:szCs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r>
              <w:rPr>
                <w:rFonts w:ascii="方正书宋_GBK" w:eastAsia="方正书宋_GBK" w:cs="方正书宋_GBK"/>
                <w:b/>
                <w:bCs/>
              </w:rPr>
              <w:t>975001</w:t>
            </w:r>
            <w:r>
              <w:rPr>
                <w:rFonts w:hint="eastAsia" w:ascii="方正书宋_GBK" w:eastAsia="方正书宋_GBK" w:cs="方正书宋_GBK"/>
                <w:b/>
                <w:bCs/>
              </w:rPr>
              <w:t>隆尧县供销合作社本级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w:t>
            </w:r>
            <w:r>
              <w:rPr>
                <w:rFonts w:hint="eastAsia" w:ascii="方正书宋_GBK" w:eastAsia="方正书宋_GBK" w:cs="方正书宋_GBK"/>
                <w:lang w:val="en-US" w:eastAsia="zh-CN"/>
              </w:rPr>
              <w:t>万</w:t>
            </w:r>
            <w:r>
              <w:rPr>
                <w:rFonts w:hint="eastAsia" w:ascii="方正书宋_GBK" w:eastAsia="方正书宋_GBK" w:cs="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Times New Roman"/>
              </w:rPr>
            </w:pPr>
            <w:r>
              <w:rPr>
                <w:rFonts w:ascii="方正书宋_GBK" w:eastAsia="方正书宋_GBK" w:cs="方正书宋_GBK"/>
              </w:rPr>
              <w:t>130525210YA03GRD6I72G</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合作组织培训经费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4"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3</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Times New Roman"/>
              </w:rPr>
            </w:pPr>
            <w:r>
              <w:rPr>
                <w:rFonts w:ascii="方正书宋_GBK" w:eastAsia="方正书宋_GBK" w:cs="方正书宋_GBK"/>
              </w:rPr>
              <w:t>3</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0" w:hRule="atLeast"/>
          <w:jc w:val="center"/>
        </w:trPr>
        <w:tc>
          <w:tcPr>
            <w:tcW w:w="1134" w:type="dxa"/>
            <w:vMerge w:val="continue"/>
            <w:vAlign w:val="center"/>
          </w:tcPr>
          <w:p>
            <w:pPr>
              <w:widowControl/>
              <w:jc w:val="left"/>
              <w:rPr>
                <w:rFonts w:ascii="方正书宋_GBK" w:eastAsia="方正书宋_GBK" w:cs="Times New Roman"/>
                <w:b/>
                <w:bCs/>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通过项目实施，有助于实现加快培养一批有文化、懂技术、会经营的新型农民合作组织带头人。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1134" w:type="dxa"/>
            <w:vMerge w:val="continue"/>
            <w:vAlign w:val="center"/>
          </w:tcPr>
          <w:p>
            <w:pPr>
              <w:widowControl/>
              <w:jc w:val="left"/>
              <w:rPr>
                <w:rFonts w:ascii="方正书宋_GBK" w:eastAsia="方正书宋_GBK" w:cs="Times New Roman"/>
                <w:b/>
                <w:bCs/>
              </w:rPr>
            </w:pPr>
          </w:p>
        </w:tc>
        <w:tc>
          <w:tcPr>
            <w:tcW w:w="2410" w:type="dxa"/>
            <w:gridSpan w:val="2"/>
            <w:vAlign w:val="center"/>
          </w:tcPr>
          <w:p>
            <w:pPr>
              <w:spacing w:line="300" w:lineRule="exact"/>
              <w:jc w:val="center"/>
              <w:rPr>
                <w:rFonts w:ascii="方正书宋_GBK" w:eastAsia="方正书宋_GBK" w:cs="Times New Roman"/>
              </w:rPr>
            </w:pPr>
          </w:p>
        </w:tc>
        <w:tc>
          <w:tcPr>
            <w:tcW w:w="1587" w:type="dxa"/>
            <w:vAlign w:val="center"/>
          </w:tcPr>
          <w:p>
            <w:pPr>
              <w:spacing w:line="300" w:lineRule="exact"/>
              <w:jc w:val="center"/>
              <w:rPr>
                <w:rFonts w:ascii="方正书宋_GBK" w:eastAsia="方正书宋_GBK" w:cs="Times New Roman"/>
              </w:rPr>
            </w:pPr>
          </w:p>
        </w:tc>
        <w:tc>
          <w:tcPr>
            <w:tcW w:w="1304" w:type="dxa"/>
            <w:vAlign w:val="center"/>
          </w:tcPr>
          <w:p>
            <w:pPr>
              <w:spacing w:line="300" w:lineRule="exact"/>
              <w:jc w:val="center"/>
              <w:rPr>
                <w:rFonts w:ascii="方正书宋_GBK" w:eastAsia="方正书宋_GBK" w:cs="Times New Roman"/>
              </w:rPr>
            </w:pPr>
          </w:p>
        </w:tc>
        <w:tc>
          <w:tcPr>
            <w:tcW w:w="2977" w:type="dxa"/>
            <w:gridSpan w:val="2"/>
            <w:vAlign w:val="center"/>
          </w:tcPr>
          <w:p>
            <w:pPr>
              <w:spacing w:line="300" w:lineRule="exact"/>
              <w:jc w:val="center"/>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培训</w:t>
            </w:r>
            <w:r>
              <w:rPr>
                <w:rFonts w:ascii="方正书宋_GBK" w:eastAsia="方正书宋_GBK" w:cs="方正书宋_GBK"/>
              </w:rPr>
              <w:t>2-3</w:t>
            </w:r>
            <w:r>
              <w:rPr>
                <w:rFonts w:hint="eastAsia" w:ascii="方正书宋_GBK" w:eastAsia="方正书宋_GBK" w:cs="方正书宋_GBK"/>
              </w:rPr>
              <w:t>期</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达到</w:t>
            </w:r>
            <w:r>
              <w:rPr>
                <w:rFonts w:ascii="方正书宋_GBK" w:eastAsia="方正书宋_GBK" w:cs="方正书宋_GBK"/>
              </w:rPr>
              <w:t>400</w:t>
            </w:r>
            <w:r>
              <w:rPr>
                <w:rFonts w:hint="eastAsia" w:ascii="方正书宋_GBK" w:eastAsia="方正书宋_GBK" w:cs="方正书宋_GBK"/>
              </w:rPr>
              <w:t>多人</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培训合作组织负责人提高政策理论，培育示范合作社。</w:t>
            </w:r>
          </w:p>
        </w:tc>
      </w:tr>
    </w:tbl>
    <w:p>
      <w:pPr>
        <w:spacing w:line="14" w:lineRule="exact"/>
        <w:jc w:val="center"/>
        <w:rPr>
          <w:rFonts w:ascii="Times New Roman" w:hAnsi="宋体" w:cs="Times New Roman"/>
        </w:rPr>
      </w:pPr>
      <w:r>
        <w:rPr>
          <w:rFonts w:ascii="方正书宋_GBK" w:eastAsia="方正书宋_GBK" w:cs="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9"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合作组织培训人数</w:t>
            </w:r>
            <w:r>
              <w:rPr>
                <w:rFonts w:ascii="方正书宋_GBK" w:eastAsia="方正书宋_GBK" w:cs="方正书宋_GBK"/>
              </w:rPr>
              <w:t>400</w:t>
            </w:r>
            <w:r>
              <w:rPr>
                <w:rFonts w:hint="eastAsia" w:ascii="方正书宋_GBK" w:eastAsia="方正书宋_GBK" w:cs="方正书宋_GBK"/>
              </w:rPr>
              <w:t>人</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合作组织培训人数</w:t>
            </w:r>
            <w:r>
              <w:rPr>
                <w:rFonts w:ascii="方正书宋_GBK" w:eastAsia="方正书宋_GBK" w:cs="方正书宋_GBK"/>
              </w:rPr>
              <w:t>400</w:t>
            </w:r>
            <w:r>
              <w:rPr>
                <w:rFonts w:hint="eastAsia" w:ascii="方正书宋_GBK" w:eastAsia="方正书宋_GBK" w:cs="方正书宋_GBK"/>
              </w:rPr>
              <w:t>人</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400</w:t>
            </w:r>
            <w:r>
              <w:rPr>
                <w:rFonts w:hint="eastAsia" w:ascii="方正书宋_GBK" w:eastAsia="方正书宋_GBK" w:cs="方正书宋_GBK"/>
              </w:rPr>
              <w:t>人</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31"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培训合格率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培训合格率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80</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完成时间</w:t>
            </w:r>
          </w:p>
        </w:tc>
        <w:tc>
          <w:tcPr>
            <w:tcW w:w="2891" w:type="dxa"/>
            <w:vAlign w:val="center"/>
          </w:tcPr>
          <w:p>
            <w:pPr>
              <w:spacing w:line="300" w:lineRule="exact"/>
              <w:jc w:val="left"/>
              <w:rPr>
                <w:rFonts w:ascii="方正书宋_GBK" w:eastAsia="方正书宋_GBK" w:cs="Times New Roman"/>
              </w:rPr>
            </w:pPr>
            <w:r>
              <w:rPr>
                <w:rFonts w:ascii="方正书宋_GBK" w:eastAsia="方正书宋_GBK" w:cs="方正书宋_GBK"/>
              </w:rPr>
              <w:t>2021</w:t>
            </w:r>
            <w:r>
              <w:rPr>
                <w:rFonts w:hint="eastAsia" w:ascii="方正书宋_GBK" w:eastAsia="方正书宋_GBK" w:cs="方正书宋_GBK"/>
              </w:rPr>
              <w:t>年</w:t>
            </w:r>
            <w:r>
              <w:rPr>
                <w:rFonts w:ascii="方正书宋_GBK" w:eastAsia="方正书宋_GBK" w:cs="方正书宋_GBK"/>
              </w:rPr>
              <w:t>11</w:t>
            </w:r>
            <w:r>
              <w:rPr>
                <w:rFonts w:hint="eastAsia" w:ascii="方正书宋_GBK" w:eastAsia="方正书宋_GBK" w:cs="方正书宋_GBK"/>
              </w:rPr>
              <w:t>月完成</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74"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人均培训成本</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人均</w:t>
            </w:r>
            <w:r>
              <w:rPr>
                <w:rFonts w:ascii="方正书宋_GBK" w:eastAsia="方正书宋_GBK" w:cs="方正书宋_GBK"/>
              </w:rPr>
              <w:t>75</w:t>
            </w:r>
            <w:r>
              <w:rPr>
                <w:rFonts w:hint="eastAsia" w:ascii="方正书宋_GBK" w:eastAsia="方正书宋_GBK" w:cs="方正书宋_GBK"/>
              </w:rPr>
              <w:t>元</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人均</w:t>
            </w:r>
            <w:r>
              <w:rPr>
                <w:rFonts w:ascii="方正书宋_GBK" w:eastAsia="方正书宋_GBK" w:cs="方正书宋_GBK"/>
              </w:rPr>
              <w:t>75</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效益指标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促进农民增收</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促进农民增收</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5</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4"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受训人员满意度</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达到</w:t>
            </w:r>
            <w:r>
              <w:rPr>
                <w:rFonts w:ascii="方正书宋_GBK" w:eastAsia="方正书宋_GBK" w:cs="方正书宋_GBK"/>
              </w:rPr>
              <w:t>95%</w:t>
            </w:r>
            <w:r>
              <w:rPr>
                <w:rFonts w:hint="eastAsia" w:ascii="方正书宋_GBK" w:eastAsia="方正书宋_GBK" w:cs="方正书宋_GBK"/>
              </w:rPr>
              <w:t>以上</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测算标准</w:t>
            </w:r>
          </w:p>
        </w:tc>
      </w:tr>
    </w:tbl>
    <w:p>
      <w:pPr>
        <w:ind w:firstLine="280" w:firstLineChars="100"/>
        <w:jc w:val="left"/>
        <w:outlineLvl w:val="3"/>
        <w:rPr>
          <w:rFonts w:ascii="方正仿宋_GBK" w:eastAsia="方正仿宋_GBK" w:cs="Times New Roman"/>
          <w:b/>
          <w:bCs/>
          <w:sz w:val="28"/>
          <w:szCs w:val="28"/>
        </w:rPr>
      </w:pPr>
      <w:bookmarkStart w:id="3" w:name="_Toc66090895"/>
    </w:p>
    <w:p>
      <w:pPr>
        <w:ind w:firstLine="280" w:firstLineChars="100"/>
        <w:jc w:val="left"/>
        <w:outlineLvl w:val="3"/>
        <w:rPr>
          <w:rFonts w:ascii="Times New Roman" w:hAnsi="宋体" w:cs="Times New Roman"/>
          <w:b/>
          <w:bCs/>
          <w:sz w:val="28"/>
          <w:szCs w:val="28"/>
        </w:rPr>
      </w:pPr>
      <w:r>
        <w:rPr>
          <w:rFonts w:ascii="方正仿宋_GBK" w:eastAsia="方正仿宋_GBK" w:cs="方正仿宋_GBK"/>
          <w:b/>
          <w:bCs/>
          <w:sz w:val="28"/>
          <w:szCs w:val="28"/>
        </w:rPr>
        <w:t>2.</w:t>
      </w:r>
      <w:r>
        <w:rPr>
          <w:rFonts w:hint="eastAsia" w:ascii="方正仿宋_GBK" w:eastAsia="方正仿宋_GBK" w:cs="方正仿宋_GBK"/>
          <w:b/>
          <w:bCs/>
          <w:sz w:val="28"/>
          <w:szCs w:val="28"/>
        </w:rPr>
        <w:t>退役军人专岗绩效目标表</w:t>
      </w:r>
      <w:bookmarkEnd w:id="3"/>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r>
        <w:rPr>
          <w:rFonts w:ascii="方正仿宋_GBK" w:eastAsia="方正仿宋_GBK" w:cs="方正仿宋_GBK"/>
          <w:b/>
          <w:bCs/>
          <w:sz w:val="28"/>
          <w:szCs w:val="28"/>
        </w:rPr>
        <w:instrText xml:space="preserve">2</w:instrText>
      </w:r>
      <w:r>
        <w:rPr>
          <w:rFonts w:hint="eastAsia" w:ascii="方正仿宋_GBK" w:eastAsia="方正仿宋_GBK" w:cs="方正仿宋_GBK"/>
          <w:b/>
          <w:bCs/>
          <w:sz w:val="28"/>
          <w:szCs w:val="28"/>
        </w:rPr>
        <w:instrText xml:space="preserve">、退役军人专岗绩效目标表</w:instrText>
      </w:r>
      <w:r>
        <w:rPr>
          <w:rFonts w:ascii="方正仿宋_GBK" w:eastAsia="方正仿宋_GBK" w:cs="Times New Roman"/>
          <w:b/>
          <w:bCs/>
          <w:sz w:val="28"/>
          <w:szCs w:val="28"/>
        </w:rPr>
        <w:instrText xml:space="preserve">" \f C \l 0</w:instrText>
      </w:r>
      <w:r>
        <w:rPr>
          <w:rFonts w:ascii="方正仿宋_GBK" w:eastAsia="方正仿宋_GBK" w:cs="方正仿宋_GBK"/>
          <w:b/>
          <w:bCs/>
          <w:sz w:val="28"/>
          <w:szCs w:val="28"/>
        </w:rPr>
        <w:instrText xml:space="preserve">001</w:instrText>
      </w:r>
      <w:r>
        <w:rPr>
          <w:rFonts w:ascii="方正仿宋_GBK" w:eastAsia="方正仿宋_GBK" w:cs="方正仿宋_GBK"/>
          <w:b/>
          <w:bCs/>
          <w:sz w:val="28"/>
          <w:szCs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r>
              <w:rPr>
                <w:rFonts w:ascii="方正书宋_GBK" w:eastAsia="方正书宋_GBK" w:cs="方正书宋_GBK"/>
                <w:b/>
                <w:bCs/>
              </w:rPr>
              <w:t>975001</w:t>
            </w:r>
            <w:r>
              <w:rPr>
                <w:rFonts w:hint="eastAsia" w:ascii="方正书宋_GBK" w:eastAsia="方正书宋_GBK" w:cs="方正书宋_GBK"/>
                <w:b/>
                <w:bCs/>
              </w:rPr>
              <w:t>隆尧县供销合作社本级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w:t>
            </w:r>
            <w:r>
              <w:rPr>
                <w:rFonts w:hint="eastAsia" w:ascii="方正书宋_GBK" w:eastAsia="方正书宋_GBK" w:cs="方正书宋_GBK"/>
                <w:lang w:val="en-US" w:eastAsia="zh-CN"/>
              </w:rPr>
              <w:t>万</w:t>
            </w:r>
            <w:r>
              <w:rPr>
                <w:rFonts w:hint="eastAsia" w:ascii="方正书宋_GBK" w:eastAsia="方正书宋_GBK" w:cs="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1"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Times New Roman"/>
              </w:rPr>
            </w:pPr>
            <w:r>
              <w:rPr>
                <w:rFonts w:ascii="方正书宋_GBK" w:eastAsia="方正书宋_GBK" w:cs="方正书宋_GBK"/>
              </w:rPr>
              <w:t>130525216BGT8MFHB4PTH</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lang w:val="en-US" w:eastAsia="zh-CN"/>
              </w:rPr>
              <w:t>.</w:t>
            </w:r>
            <w:r>
              <w:rPr>
                <w:rFonts w:ascii="方正书宋_GBK" w:eastAsia="方正书宋_GBK" w:cs="方正书宋_GBK"/>
              </w:rPr>
              <w:t>26</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lang w:val="en-US" w:eastAsia="zh-CN"/>
              </w:rPr>
              <w:t>.</w:t>
            </w:r>
            <w:r>
              <w:rPr>
                <w:rFonts w:ascii="方正书宋_GBK" w:eastAsia="方正书宋_GBK" w:cs="方正书宋_GBK"/>
              </w:rPr>
              <w:t>26</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4" w:type="dxa"/>
            <w:vMerge w:val="continue"/>
            <w:vAlign w:val="center"/>
          </w:tcPr>
          <w:p>
            <w:pPr>
              <w:widowControl/>
              <w:jc w:val="left"/>
              <w:rPr>
                <w:rFonts w:ascii="方正书宋_GBK" w:eastAsia="方正书宋_GBK" w:cs="Times New Roman"/>
                <w:b/>
                <w:bCs/>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用于退役士兵及保险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0"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1134" w:type="dxa"/>
            <w:vMerge w:val="continue"/>
            <w:vAlign w:val="center"/>
          </w:tcPr>
          <w:p>
            <w:pPr>
              <w:widowControl/>
              <w:jc w:val="left"/>
              <w:rPr>
                <w:rFonts w:ascii="方正书宋_GBK" w:eastAsia="方正书宋_GBK" w:cs="Times New Roman"/>
                <w:b/>
                <w:bCs/>
              </w:rPr>
            </w:pPr>
          </w:p>
        </w:tc>
        <w:tc>
          <w:tcPr>
            <w:tcW w:w="2410" w:type="dxa"/>
            <w:gridSpan w:val="2"/>
            <w:vAlign w:val="center"/>
          </w:tcPr>
          <w:p>
            <w:pPr>
              <w:spacing w:line="300" w:lineRule="exact"/>
              <w:jc w:val="center"/>
              <w:rPr>
                <w:rFonts w:ascii="方正书宋_GBK" w:eastAsia="方正书宋_GBK" w:cs="Times New Roman"/>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Times New Roman"/>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Times New Roman"/>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Times New Roman"/>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按时发放工资</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按时缴纳社会保障缴费</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稳定职工情绪</w:t>
            </w:r>
          </w:p>
        </w:tc>
      </w:tr>
    </w:tbl>
    <w:p>
      <w:pPr>
        <w:spacing w:line="14" w:lineRule="exact"/>
        <w:jc w:val="center"/>
        <w:rPr>
          <w:rFonts w:ascii="Times New Roman" w:hAnsi="宋体" w:cs="Times New Roman"/>
        </w:rPr>
      </w:pPr>
      <w:r>
        <w:rPr>
          <w:rFonts w:ascii="方正书宋_GBK" w:eastAsia="方正书宋_GBK" w:cs="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5"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发放退役士兵工资人数</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发放退役士兵工资人数</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是否达到目标要求</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发放完成率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按季度平均分配</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全年发放完成</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按时发放工资</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按时发放工资</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按时发放公益岗位工资</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经费预算</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工资保险情况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退役士兵工资保险</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效益指标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资金使用效益</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资金使用效益</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90</w:t>
            </w:r>
            <w:r>
              <w:rPr>
                <w:rFonts w:hint="eastAsia" w:ascii="方正书宋_GBK" w:eastAsia="方正书宋_GBK" w:cs="方正书宋_GBK"/>
              </w:rPr>
              <w:t>提高资金使用效益</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资金使用效率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资金使用效率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90</w:t>
            </w:r>
            <w:r>
              <w:rPr>
                <w:rFonts w:hint="eastAsia" w:ascii="方正书宋_GBK" w:eastAsia="方正书宋_GBK" w:cs="方正书宋_GBK"/>
              </w:rPr>
              <w:t>全年使用资金率</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是否达到资金使用率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持续保障职工权益</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保障职工社会保障正常缴纳</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保障退役士兵正常缴纳</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是否正常缴纳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服务对象的满意率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服务对象的满意率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90</w:t>
            </w:r>
            <w:r>
              <w:rPr>
                <w:rFonts w:hint="eastAsia" w:ascii="方正书宋_GBK" w:eastAsia="方正书宋_GBK" w:cs="方正书宋_GBK"/>
              </w:rPr>
              <w:t>服务对象的满意度</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服务对象的满意度百分比</w:t>
            </w:r>
          </w:p>
        </w:tc>
      </w:tr>
    </w:tbl>
    <w:p>
      <w:pPr>
        <w:widowControl/>
        <w:jc w:val="left"/>
        <w:rPr>
          <w:rFonts w:cs="Times New Roman"/>
        </w:rPr>
        <w:sectPr>
          <w:pgSz w:w="11907" w:h="16839"/>
          <w:pgMar w:top="1984" w:right="1304" w:bottom="1134" w:left="1304" w:header="851" w:footer="992" w:gutter="0"/>
          <w:cols w:space="720" w:num="1"/>
          <w:docGrid w:type="lines" w:linePitch="312" w:charSpace="0"/>
        </w:sectPr>
      </w:pPr>
    </w:p>
    <w:p>
      <w:pPr>
        <w:ind w:firstLine="560" w:firstLineChars="200"/>
        <w:jc w:val="left"/>
        <w:outlineLvl w:val="3"/>
        <w:rPr>
          <w:rFonts w:ascii="Times New Roman" w:hAnsi="宋体" w:cs="Times New Roman"/>
          <w:b/>
          <w:bCs/>
          <w:sz w:val="28"/>
          <w:szCs w:val="28"/>
        </w:rPr>
      </w:pPr>
      <w:bookmarkStart w:id="4" w:name="_Toc66090896"/>
      <w:r>
        <w:rPr>
          <w:rFonts w:ascii="方正仿宋_GBK" w:eastAsia="方正仿宋_GBK" w:cs="方正仿宋_GBK"/>
          <w:b/>
          <w:bCs/>
          <w:sz w:val="28"/>
          <w:szCs w:val="28"/>
        </w:rPr>
        <w:t>3.</w:t>
      </w:r>
      <w:r>
        <w:rPr>
          <w:rFonts w:hint="eastAsia" w:ascii="方正仿宋_GBK" w:eastAsia="方正仿宋_GBK" w:cs="方正仿宋_GBK"/>
          <w:b/>
          <w:bCs/>
          <w:sz w:val="28"/>
          <w:szCs w:val="28"/>
        </w:rPr>
        <w:t>农村产权交易市场绩效目标表</w:t>
      </w:r>
      <w:bookmarkEnd w:id="4"/>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r>
        <w:rPr>
          <w:rFonts w:ascii="方正仿宋_GBK" w:eastAsia="方正仿宋_GBK" w:cs="方正仿宋_GBK"/>
          <w:b/>
          <w:bCs/>
          <w:sz w:val="28"/>
          <w:szCs w:val="28"/>
        </w:rPr>
        <w:instrText xml:space="preserve">3</w:instrText>
      </w:r>
      <w:r>
        <w:rPr>
          <w:rFonts w:hint="eastAsia" w:ascii="方正仿宋_GBK" w:eastAsia="方正仿宋_GBK" w:cs="方正仿宋_GBK"/>
          <w:b/>
          <w:bCs/>
          <w:sz w:val="28"/>
          <w:szCs w:val="28"/>
        </w:rPr>
        <w:instrText xml:space="preserve">、农村产权交易市场绩效目标表</w:instrText>
      </w:r>
      <w:r>
        <w:rPr>
          <w:rFonts w:ascii="方正仿宋_GBK" w:eastAsia="方正仿宋_GBK" w:cs="Times New Roman"/>
          <w:b/>
          <w:bCs/>
          <w:sz w:val="28"/>
          <w:szCs w:val="28"/>
        </w:rPr>
        <w:instrText xml:space="preserve">" \f C \l 0</w:instrText>
      </w:r>
      <w:r>
        <w:rPr>
          <w:rFonts w:ascii="方正仿宋_GBK" w:eastAsia="方正仿宋_GBK" w:cs="方正仿宋_GBK"/>
          <w:b/>
          <w:bCs/>
          <w:sz w:val="28"/>
          <w:szCs w:val="28"/>
        </w:rPr>
        <w:instrText xml:space="preserve">001</w:instrText>
      </w:r>
      <w:r>
        <w:rPr>
          <w:rFonts w:ascii="方正仿宋_GBK" w:eastAsia="方正仿宋_GBK" w:cs="方正仿宋_GBK"/>
          <w:b/>
          <w:bCs/>
          <w:sz w:val="28"/>
          <w:szCs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r>
              <w:rPr>
                <w:rFonts w:ascii="方正书宋_GBK" w:eastAsia="方正书宋_GBK" w:cs="方正书宋_GBK"/>
                <w:b/>
                <w:bCs/>
              </w:rPr>
              <w:t>975001</w:t>
            </w:r>
            <w:r>
              <w:rPr>
                <w:rFonts w:hint="eastAsia" w:ascii="方正书宋_GBK" w:eastAsia="方正书宋_GBK" w:cs="方正书宋_GBK"/>
                <w:b/>
                <w:bCs/>
              </w:rPr>
              <w:t>隆尧县供销合作社本级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w:t>
            </w:r>
            <w:r>
              <w:rPr>
                <w:rFonts w:hint="eastAsia" w:ascii="方正书宋_GBK" w:eastAsia="方正书宋_GBK" w:cs="方正书宋_GBK"/>
                <w:lang w:eastAsia="zh-CN"/>
              </w:rPr>
              <w:t>万</w:t>
            </w:r>
            <w:r>
              <w:rPr>
                <w:rFonts w:hint="eastAsia" w:ascii="方正书宋_GBK" w:eastAsia="方正书宋_GBK" w:cs="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7"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Times New Roman"/>
              </w:rPr>
            </w:pPr>
            <w:r>
              <w:rPr>
                <w:rFonts w:ascii="方正书宋_GBK" w:eastAsia="方正书宋_GBK" w:cs="方正书宋_GBK"/>
              </w:rPr>
              <w:t>13052521GC27YQE87AASW</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农村产权交易市场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2</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Times New Roman"/>
              </w:rPr>
            </w:pPr>
            <w:r>
              <w:rPr>
                <w:rFonts w:ascii="方正书宋_GBK" w:eastAsia="方正书宋_GBK" w:cs="方正书宋_GBK"/>
              </w:rPr>
              <w:t>2</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1134" w:type="dxa"/>
            <w:vMerge w:val="continue"/>
            <w:vAlign w:val="center"/>
          </w:tcPr>
          <w:p>
            <w:pPr>
              <w:widowControl/>
              <w:jc w:val="left"/>
              <w:rPr>
                <w:rFonts w:ascii="方正书宋_GBK" w:eastAsia="方正书宋_GBK" w:cs="Times New Roman"/>
                <w:b/>
                <w:bCs/>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交通、宣传、办公费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134" w:type="dxa"/>
            <w:vMerge w:val="continue"/>
            <w:vAlign w:val="center"/>
          </w:tcPr>
          <w:p>
            <w:pPr>
              <w:widowControl/>
              <w:jc w:val="left"/>
              <w:rPr>
                <w:rFonts w:ascii="方正书宋_GBK" w:eastAsia="方正书宋_GBK" w:cs="Times New Roman"/>
                <w:b/>
                <w:bCs/>
              </w:rPr>
            </w:pPr>
          </w:p>
        </w:tc>
        <w:tc>
          <w:tcPr>
            <w:tcW w:w="2410" w:type="dxa"/>
            <w:gridSpan w:val="2"/>
            <w:vAlign w:val="center"/>
          </w:tcPr>
          <w:p>
            <w:pPr>
              <w:spacing w:line="300" w:lineRule="exact"/>
              <w:jc w:val="center"/>
              <w:rPr>
                <w:rFonts w:ascii="方正书宋_GBK" w:eastAsia="方正书宋_GBK" w:cs="Times New Roman"/>
              </w:rPr>
            </w:pPr>
          </w:p>
        </w:tc>
        <w:tc>
          <w:tcPr>
            <w:tcW w:w="1587" w:type="dxa"/>
            <w:vAlign w:val="center"/>
          </w:tcPr>
          <w:p>
            <w:pPr>
              <w:spacing w:line="300" w:lineRule="exact"/>
              <w:jc w:val="center"/>
              <w:rPr>
                <w:rFonts w:ascii="方正书宋_GBK" w:eastAsia="方正书宋_GBK" w:cs="Times New Roman"/>
              </w:rPr>
            </w:pPr>
          </w:p>
        </w:tc>
        <w:tc>
          <w:tcPr>
            <w:tcW w:w="1304" w:type="dxa"/>
            <w:vAlign w:val="center"/>
          </w:tcPr>
          <w:p>
            <w:pPr>
              <w:spacing w:line="300" w:lineRule="exact"/>
              <w:jc w:val="center"/>
              <w:rPr>
                <w:rFonts w:ascii="方正书宋_GBK" w:eastAsia="方正书宋_GBK" w:cs="Times New Roman"/>
              </w:rPr>
            </w:pPr>
          </w:p>
        </w:tc>
        <w:tc>
          <w:tcPr>
            <w:tcW w:w="2977" w:type="dxa"/>
            <w:gridSpan w:val="2"/>
            <w:vAlign w:val="center"/>
          </w:tcPr>
          <w:p>
            <w:pPr>
              <w:spacing w:line="300" w:lineRule="exact"/>
              <w:jc w:val="center"/>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8"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乡镇农村产权流转服务站全覆盖</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具备条件的村全部建立产权服务点</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完成市社下达的产权交易流转额</w:t>
            </w:r>
          </w:p>
        </w:tc>
      </w:tr>
    </w:tbl>
    <w:p>
      <w:pPr>
        <w:spacing w:line="14" w:lineRule="exact"/>
        <w:jc w:val="center"/>
        <w:rPr>
          <w:rFonts w:ascii="Times New Roman" w:hAnsi="宋体" w:cs="Times New Roman"/>
        </w:rPr>
      </w:pPr>
      <w:r>
        <w:rPr>
          <w:rFonts w:ascii="方正书宋_GBK" w:eastAsia="方正书宋_GBK" w:cs="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乡镇站百分百</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乡镇站百分百</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达到标准</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达到标准</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年底前</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年底前</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努力降低</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努力降低</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效益指标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实现效益</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实现效益</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较好</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体系不断完善</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widowControl/>
              <w:jc w:val="left"/>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较好</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服务对象满意度指标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较好</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较满意</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w:t>
            </w:r>
            <w:r>
              <w:rPr>
                <w:rFonts w:hint="eastAsia" w:ascii="方正书宋_GBK" w:eastAsia="方正书宋_GBK" w:cs="方正书宋_GBK"/>
              </w:rPr>
              <w:t>省市社标准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省市社标准</w:t>
            </w:r>
          </w:p>
        </w:tc>
      </w:tr>
    </w:tbl>
    <w:p>
      <w:pPr>
        <w:widowControl/>
        <w:jc w:val="left"/>
        <w:rPr>
          <w:rFonts w:cs="Times New Roman"/>
        </w:rPr>
        <w:sectPr>
          <w:pgSz w:w="11907" w:h="16839"/>
          <w:pgMar w:top="1984" w:right="1304" w:bottom="1134" w:left="1304" w:header="851" w:footer="992" w:gutter="0"/>
          <w:cols w:space="720" w:num="1"/>
          <w:docGrid w:type="lines" w:linePitch="312" w:charSpace="0"/>
        </w:sectPr>
      </w:pPr>
    </w:p>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r>
        <w:rPr>
          <w:rFonts w:ascii="Times New Roman" w:hAnsi="Times New Roman" w:eastAsia="仿宋" w:cs="Times New Roman"/>
          <w:sz w:val="32"/>
          <w:szCs w:val="32"/>
        </w:rPr>
        <w:t xml:space="preserve">   2021</w:t>
      </w:r>
      <w:r>
        <w:rPr>
          <w:rFonts w:hint="eastAsia" w:ascii="Times New Roman" w:hAnsi="Times New Roman" w:eastAsia="仿宋" w:cs="仿宋"/>
          <w:sz w:val="32"/>
          <w:szCs w:val="32"/>
        </w:rPr>
        <w:t>年，我部门政府采购预算</w:t>
      </w:r>
      <w:r>
        <w:rPr>
          <w:rFonts w:hint="eastAsia" w:ascii="Times New Roman" w:hAnsi="Times New Roman" w:eastAsia="仿宋" w:cs="仿宋"/>
          <w:sz w:val="32"/>
          <w:szCs w:val="32"/>
          <w:lang w:val="en-US" w:eastAsia="zh-CN"/>
        </w:rPr>
        <w:t>0万元</w:t>
      </w:r>
      <w:r>
        <w:rPr>
          <w:rFonts w:hint="eastAsia" w:ascii="Times New Roman" w:hAnsi="Times New Roman" w:eastAsia="仿宋" w:cs="仿宋"/>
          <w:sz w:val="32"/>
          <w:szCs w:val="32"/>
        </w:rPr>
        <w:t>。</w:t>
      </w:r>
    </w:p>
    <w:p>
      <w:pPr>
        <w:tabs>
          <w:tab w:val="left" w:pos="455"/>
        </w:tabs>
        <w:rPr>
          <w:rFonts w:ascii="Times New Roman" w:hAnsi="Times New Roman" w:eastAsia="仿宋" w:cs="Times New Roman"/>
          <w:sz w:val="32"/>
          <w:szCs w:val="32"/>
        </w:rPr>
      </w:pPr>
      <w:r>
        <w:rPr>
          <w:rFonts w:ascii="Times New Roman" w:hAnsi="Times New Roman" w:eastAsia="仿宋" w:cs="Times New Roman"/>
          <w:sz w:val="32"/>
          <w:szCs w:val="32"/>
        </w:rPr>
        <w:tab/>
      </w:r>
      <w:r>
        <w:rPr>
          <w:rFonts w:hint="eastAsia" w:ascii="黑体" w:hAnsi="黑体" w:eastAsia="黑体" w:cs="黑体"/>
          <w:sz w:val="32"/>
          <w:szCs w:val="32"/>
        </w:rPr>
        <w:t>七、国有资产信息</w:t>
      </w:r>
    </w:p>
    <w:p>
      <w:pPr>
        <w:ind w:firstLine="640" w:firstLineChars="20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隆尧县供销合作社</w:t>
      </w: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292.43</w:t>
      </w:r>
      <w:r>
        <w:rPr>
          <w:rFonts w:hint="eastAsia" w:ascii="Times New Roman" w:hAnsi="Times New Roman" w:eastAsia="仿宋" w:cs="仿宋"/>
          <w:color w:val="000000"/>
          <w:sz w:val="32"/>
          <w:szCs w:val="32"/>
        </w:rPr>
        <w:t>万元（详见下表），本年度拟购置固定资产总额为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仿宋"/>
          <w:color w:val="000000"/>
          <w:sz w:val="32"/>
          <w:szCs w:val="32"/>
        </w:rPr>
        <w:t>万元。</w:t>
      </w:r>
    </w:p>
    <w:tbl>
      <w:tblPr>
        <w:tblStyle w:val="7"/>
        <w:tblW w:w="9100" w:type="dxa"/>
        <w:tblInd w:w="-106" w:type="dxa"/>
        <w:tblLayout w:type="fixed"/>
        <w:tblCellMar>
          <w:top w:w="0" w:type="dxa"/>
          <w:left w:w="108" w:type="dxa"/>
          <w:bottom w:w="0" w:type="dxa"/>
          <w:right w:w="108" w:type="dxa"/>
        </w:tblCellMar>
      </w:tblPr>
      <w:tblGrid>
        <w:gridCol w:w="3526"/>
        <w:gridCol w:w="2130"/>
        <w:gridCol w:w="3444"/>
      </w:tblGrid>
      <w:tr>
        <w:tblPrEx>
          <w:tblCellMar>
            <w:top w:w="0" w:type="dxa"/>
            <w:left w:w="108" w:type="dxa"/>
            <w:bottom w:w="0" w:type="dxa"/>
            <w:right w:w="108" w:type="dxa"/>
          </w:tblCellMar>
        </w:tblPrEx>
        <w:trPr>
          <w:trHeight w:val="684" w:hRule="atLeast"/>
        </w:trPr>
        <w:tc>
          <w:tcPr>
            <w:tcW w:w="9100"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隆尧县供销合作社固定资产占用情况表</w:t>
            </w:r>
          </w:p>
        </w:tc>
      </w:tr>
      <w:tr>
        <w:tblPrEx>
          <w:tblCellMar>
            <w:top w:w="0" w:type="dxa"/>
            <w:left w:w="108" w:type="dxa"/>
            <w:bottom w:w="0" w:type="dxa"/>
            <w:right w:w="108" w:type="dxa"/>
          </w:tblCellMar>
        </w:tblPrEx>
        <w:trPr>
          <w:trHeight w:val="495" w:hRule="atLeast"/>
        </w:trPr>
        <w:tc>
          <w:tcPr>
            <w:tcW w:w="5656"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编制部门：隆尧县供销合作社</w:t>
            </w:r>
          </w:p>
        </w:tc>
        <w:tc>
          <w:tcPr>
            <w:tcW w:w="3444" w:type="dxa"/>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35" w:hRule="atLeast"/>
        </w:trPr>
        <w:tc>
          <w:tcPr>
            <w:tcW w:w="35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130"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3444"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ind w:firstLine="1210" w:firstLineChars="550"/>
              <w:rPr>
                <w:rFonts w:ascii="Times New Roman" w:hAnsi="Times New Roman" w:eastAsia="仿宋" w:cs="Times New Roman"/>
                <w:color w:val="FF0000"/>
                <w:kern w:val="0"/>
                <w:sz w:val="22"/>
                <w:szCs w:val="22"/>
              </w:rPr>
            </w:pPr>
            <w:r>
              <w:rPr>
                <w:rFonts w:ascii="Times New Roman" w:hAnsi="Times New Roman" w:eastAsia="仿宋" w:cs="Times New Roman"/>
                <w:color w:val="000000"/>
                <w:kern w:val="0"/>
                <w:sz w:val="22"/>
                <w:szCs w:val="22"/>
              </w:rPr>
              <w:t>292.43</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3600</w:t>
            </w:r>
          </w:p>
        </w:tc>
        <w:tc>
          <w:tcPr>
            <w:tcW w:w="3444"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szCs w:val="22"/>
              </w:rPr>
            </w:pPr>
            <w:r>
              <w:rPr>
                <w:rFonts w:ascii="Times New Roman" w:hAnsi="Times New Roman" w:eastAsia="仿宋" w:cs="Times New Roman"/>
                <w:kern w:val="0"/>
                <w:sz w:val="22"/>
                <w:szCs w:val="22"/>
              </w:rPr>
              <w:t xml:space="preserve">           292.43</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3600</w:t>
            </w:r>
          </w:p>
        </w:tc>
        <w:tc>
          <w:tcPr>
            <w:tcW w:w="3444"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szCs w:val="22"/>
              </w:rPr>
            </w:pPr>
            <w:r>
              <w:rPr>
                <w:rFonts w:ascii="Times New Roman" w:hAnsi="Times New Roman" w:eastAsia="仿宋" w:cs="Times New Roman"/>
                <w:kern w:val="0"/>
                <w:sz w:val="22"/>
                <w:szCs w:val="22"/>
              </w:rPr>
              <w:t xml:space="preserve">           292.43</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130"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szCs w:val="22"/>
              </w:rPr>
            </w:pP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szCs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w:t>
      </w:r>
      <w:r>
        <w:rPr>
          <w:rFonts w:hint="eastAsia" w:ascii="Times New Roman" w:hAnsi="Times New Roman" w:eastAsia="仿宋" w:cs="Times New Roman"/>
          <w:sz w:val="32"/>
          <w:szCs w:val="32"/>
          <w:lang w:val="en-US" w:eastAsia="zh-CN"/>
        </w:rPr>
        <w:t>业</w:t>
      </w:r>
      <w:r>
        <w:rPr>
          <w:rFonts w:hint="eastAsia" w:ascii="Times New Roman" w:hAnsi="Times New Roman" w:eastAsia="仿宋" w:cs="Times New Roman"/>
          <w:sz w:val="32"/>
          <w:szCs w:val="32"/>
        </w:rPr>
        <w:t>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w:t>
      </w:r>
      <w:r>
        <w:rPr>
          <w:rFonts w:hint="eastAsia" w:ascii="Times New Roman" w:hAnsi="Times New Roman" w:eastAsia="仿宋" w:cs="仿宋"/>
          <w:sz w:val="32"/>
          <w:szCs w:val="32"/>
          <w:lang w:val="en-US" w:eastAsia="zh-CN"/>
        </w:rPr>
        <w:t>的事项</w:t>
      </w:r>
      <w:bookmarkEnd w:id="0"/>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uto"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13</w:t>
    </w:r>
    <w:r>
      <w:rPr>
        <w:rStyle w:val="14"/>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ZiYjg2OWQzYWIwMGNhMDg3ZTgxYmMyMjNhMzAwOTQifQ=="/>
  </w:docVars>
  <w:rsids>
    <w:rsidRoot w:val="00EE71BA"/>
    <w:rsid w:val="00020BB2"/>
    <w:rsid w:val="00027268"/>
    <w:rsid w:val="00040DC0"/>
    <w:rsid w:val="0006061F"/>
    <w:rsid w:val="000B2F3F"/>
    <w:rsid w:val="000C7140"/>
    <w:rsid w:val="001044EC"/>
    <w:rsid w:val="001623AC"/>
    <w:rsid w:val="00251F73"/>
    <w:rsid w:val="002631F8"/>
    <w:rsid w:val="002B73D4"/>
    <w:rsid w:val="00323B29"/>
    <w:rsid w:val="0039059E"/>
    <w:rsid w:val="003D64DC"/>
    <w:rsid w:val="004312F0"/>
    <w:rsid w:val="004546A9"/>
    <w:rsid w:val="004814A9"/>
    <w:rsid w:val="005B172D"/>
    <w:rsid w:val="00635BAC"/>
    <w:rsid w:val="00652DC3"/>
    <w:rsid w:val="006706DE"/>
    <w:rsid w:val="006E48FC"/>
    <w:rsid w:val="006E6074"/>
    <w:rsid w:val="00780176"/>
    <w:rsid w:val="007F0341"/>
    <w:rsid w:val="0082323F"/>
    <w:rsid w:val="008360FD"/>
    <w:rsid w:val="008A7BC2"/>
    <w:rsid w:val="008D59F7"/>
    <w:rsid w:val="00977A1A"/>
    <w:rsid w:val="00993445"/>
    <w:rsid w:val="009A0FD3"/>
    <w:rsid w:val="009A521C"/>
    <w:rsid w:val="009B57EE"/>
    <w:rsid w:val="009B5D82"/>
    <w:rsid w:val="009F738D"/>
    <w:rsid w:val="00A4198F"/>
    <w:rsid w:val="00A84375"/>
    <w:rsid w:val="00AB7C45"/>
    <w:rsid w:val="00AF396A"/>
    <w:rsid w:val="00AF3E99"/>
    <w:rsid w:val="00B47B0C"/>
    <w:rsid w:val="00B504A7"/>
    <w:rsid w:val="00B93BDA"/>
    <w:rsid w:val="00BC0395"/>
    <w:rsid w:val="00BF7C3E"/>
    <w:rsid w:val="00C021A5"/>
    <w:rsid w:val="00C567AC"/>
    <w:rsid w:val="00CA1F35"/>
    <w:rsid w:val="00CC5895"/>
    <w:rsid w:val="00CF3F70"/>
    <w:rsid w:val="00D276F6"/>
    <w:rsid w:val="00D607DA"/>
    <w:rsid w:val="00D64DDA"/>
    <w:rsid w:val="00DC6B61"/>
    <w:rsid w:val="00DC6EE5"/>
    <w:rsid w:val="00DD7979"/>
    <w:rsid w:val="00E914AA"/>
    <w:rsid w:val="00EE71BA"/>
    <w:rsid w:val="00F20165"/>
    <w:rsid w:val="00F867E4"/>
    <w:rsid w:val="00F97C8C"/>
    <w:rsid w:val="00FD1F07"/>
    <w:rsid w:val="00FD441B"/>
    <w:rsid w:val="014D28C9"/>
    <w:rsid w:val="04CF4DD1"/>
    <w:rsid w:val="05263B5D"/>
    <w:rsid w:val="05AA7F74"/>
    <w:rsid w:val="06361B7E"/>
    <w:rsid w:val="075C5614"/>
    <w:rsid w:val="08CE42EF"/>
    <w:rsid w:val="0ACB2C96"/>
    <w:rsid w:val="0B312D6C"/>
    <w:rsid w:val="0BBB460C"/>
    <w:rsid w:val="0C94654A"/>
    <w:rsid w:val="0CFE097B"/>
    <w:rsid w:val="0D597D7C"/>
    <w:rsid w:val="0EA7513B"/>
    <w:rsid w:val="0EAD2BF9"/>
    <w:rsid w:val="1001144E"/>
    <w:rsid w:val="100F5919"/>
    <w:rsid w:val="1021628C"/>
    <w:rsid w:val="1046339C"/>
    <w:rsid w:val="122907E8"/>
    <w:rsid w:val="145853B5"/>
    <w:rsid w:val="149F410A"/>
    <w:rsid w:val="19141161"/>
    <w:rsid w:val="1B6C00C4"/>
    <w:rsid w:val="1B796224"/>
    <w:rsid w:val="1B9C202B"/>
    <w:rsid w:val="1BEA723A"/>
    <w:rsid w:val="1BF13113"/>
    <w:rsid w:val="1CAD44BC"/>
    <w:rsid w:val="1CD001DE"/>
    <w:rsid w:val="1E0C16EA"/>
    <w:rsid w:val="1E7179FE"/>
    <w:rsid w:val="1EA32A0B"/>
    <w:rsid w:val="21281B19"/>
    <w:rsid w:val="22D327D6"/>
    <w:rsid w:val="23706277"/>
    <w:rsid w:val="23B50F6F"/>
    <w:rsid w:val="2556149D"/>
    <w:rsid w:val="26184CFF"/>
    <w:rsid w:val="267847C1"/>
    <w:rsid w:val="26D7660D"/>
    <w:rsid w:val="26E86A6C"/>
    <w:rsid w:val="28A6098D"/>
    <w:rsid w:val="29437F8A"/>
    <w:rsid w:val="29E654E5"/>
    <w:rsid w:val="29F15C38"/>
    <w:rsid w:val="2AAF1D7B"/>
    <w:rsid w:val="2BAF2E0B"/>
    <w:rsid w:val="2C2357B7"/>
    <w:rsid w:val="2C6B3A80"/>
    <w:rsid w:val="2CD163AB"/>
    <w:rsid w:val="2D163F9E"/>
    <w:rsid w:val="2E8C5F2F"/>
    <w:rsid w:val="2E9F3EB4"/>
    <w:rsid w:val="2FA15F71"/>
    <w:rsid w:val="2FAD0853"/>
    <w:rsid w:val="2FBB035B"/>
    <w:rsid w:val="30A4379B"/>
    <w:rsid w:val="31197F4E"/>
    <w:rsid w:val="31B670A7"/>
    <w:rsid w:val="32CC4BB5"/>
    <w:rsid w:val="335C2374"/>
    <w:rsid w:val="33FE3DBB"/>
    <w:rsid w:val="34627E5E"/>
    <w:rsid w:val="3505225C"/>
    <w:rsid w:val="38E521D2"/>
    <w:rsid w:val="399F120C"/>
    <w:rsid w:val="3D970528"/>
    <w:rsid w:val="3EBC20B1"/>
    <w:rsid w:val="3F9966FE"/>
    <w:rsid w:val="3FA80EBD"/>
    <w:rsid w:val="3FEE6A4A"/>
    <w:rsid w:val="40796BF6"/>
    <w:rsid w:val="40FB141E"/>
    <w:rsid w:val="41055DF9"/>
    <w:rsid w:val="422B2460"/>
    <w:rsid w:val="42CC0539"/>
    <w:rsid w:val="42DE23F7"/>
    <w:rsid w:val="43FA54B2"/>
    <w:rsid w:val="452D30C0"/>
    <w:rsid w:val="456357E4"/>
    <w:rsid w:val="46265E5E"/>
    <w:rsid w:val="48861F15"/>
    <w:rsid w:val="4ABA4FFD"/>
    <w:rsid w:val="4B321EE0"/>
    <w:rsid w:val="4CE00FD4"/>
    <w:rsid w:val="4DA30E74"/>
    <w:rsid w:val="4DE33966"/>
    <w:rsid w:val="4EAC3D58"/>
    <w:rsid w:val="4F701229"/>
    <w:rsid w:val="507C3BFE"/>
    <w:rsid w:val="53311227"/>
    <w:rsid w:val="557B158E"/>
    <w:rsid w:val="57E26A3C"/>
    <w:rsid w:val="58896EB8"/>
    <w:rsid w:val="5A742055"/>
    <w:rsid w:val="5AA43E60"/>
    <w:rsid w:val="5B6836FC"/>
    <w:rsid w:val="5BBD1849"/>
    <w:rsid w:val="5C1717E4"/>
    <w:rsid w:val="5C2A5665"/>
    <w:rsid w:val="5C3E5E28"/>
    <w:rsid w:val="5E6F79D2"/>
    <w:rsid w:val="5F337B7D"/>
    <w:rsid w:val="612C6F7A"/>
    <w:rsid w:val="61316092"/>
    <w:rsid w:val="61587D6F"/>
    <w:rsid w:val="619C5EAE"/>
    <w:rsid w:val="624110EB"/>
    <w:rsid w:val="636267EC"/>
    <w:rsid w:val="63D53F73"/>
    <w:rsid w:val="64084E20"/>
    <w:rsid w:val="650878D3"/>
    <w:rsid w:val="657F73F8"/>
    <w:rsid w:val="65A24C43"/>
    <w:rsid w:val="68911596"/>
    <w:rsid w:val="68C301C4"/>
    <w:rsid w:val="68E24AEE"/>
    <w:rsid w:val="695C72F1"/>
    <w:rsid w:val="6A1A2066"/>
    <w:rsid w:val="6A767767"/>
    <w:rsid w:val="6B480E55"/>
    <w:rsid w:val="6CC974BF"/>
    <w:rsid w:val="6CF322AA"/>
    <w:rsid w:val="6D01750D"/>
    <w:rsid w:val="6EA47B72"/>
    <w:rsid w:val="70532C28"/>
    <w:rsid w:val="715A71EC"/>
    <w:rsid w:val="72AD06C3"/>
    <w:rsid w:val="74C27582"/>
    <w:rsid w:val="76972099"/>
    <w:rsid w:val="77954B59"/>
    <w:rsid w:val="7C404439"/>
    <w:rsid w:val="7C413482"/>
    <w:rsid w:val="7C660B89"/>
    <w:rsid w:val="7DFC08D9"/>
    <w:rsid w:val="7E2B263C"/>
    <w:rsid w:val="7E924469"/>
    <w:rsid w:val="7F6C1A27"/>
    <w:rsid w:val="7F73604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szCs w:val="18"/>
    </w:rPr>
  </w:style>
  <w:style w:type="character" w:customStyle="1" w:styleId="11">
    <w:name w:val="Header Char"/>
    <w:basedOn w:val="8"/>
    <w:link w:val="3"/>
    <w:semiHidden/>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页码1"/>
    <w:qFormat/>
    <w:uiPriority w:val="99"/>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11</Pages>
  <Words>4343</Words>
  <Characters>4635</Characters>
  <Lines>0</Lines>
  <Paragraphs>0</Paragraphs>
  <TotalTime>24</TotalTime>
  <ScaleCrop>false</ScaleCrop>
  <LinksUpToDate>false</LinksUpToDate>
  <CharactersWithSpaces>4670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Administrator</cp:lastModifiedBy>
  <cp:lastPrinted>2020-01-10T15:53:00Z</cp:lastPrinted>
  <dcterms:modified xsi:type="dcterms:W3CDTF">2022-09-05T07:45:27Z</dcterms:modified>
  <cp:revision>16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60520C2BBDE74E1981E8AD0B2E84E636</vt:lpwstr>
  </property>
</Properties>
</file>