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隆尧县人民政府办公室</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按照《预算法》、《地方预决算公开操作规程》和《河北省省级预算公开办法》规定，现将隆尧县人民政府办公室</w:t>
      </w: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600"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（二）负责县政府领导活动的组织和协调工作；负责县政府</w:t>
      </w:r>
      <w:r>
        <w:rPr>
          <w:rFonts w:hint="eastAsia" w:ascii="仿宋_GB2312" w:hAnsi="黑体" w:eastAsia="仿宋_GB2312"/>
          <w:spacing w:val="-6"/>
          <w:sz w:val="32"/>
          <w:szCs w:val="32"/>
        </w:rPr>
        <w:t>会议的筹备和服务工作，协助县政府领导组织落实会议决定事项。</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（三）研究县政府各部门、各乡镇政府、开发区、食品城请示县政府的事项，提出审核意见，报县政府领导审批。</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（四）根据县政府领导的指示，对县政府部门间出现的争议问题提出处理意见，报县政府领导决定。</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（五）组织起草县政府领导重要讲话及其他重要文稿。</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（六）督促检查县政府各部门、各乡镇政府、开发区、食品城对市政府和县政府决定事项及市政府、县政府领导重要批示的执行落实情况并跟踪调研，及时向县政府领导报告。</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（七）负责县政府值班工作，及时报告重要情况，传达和督促落实县政府领导工作要求，协助处理各部门、各乡镇向县政府反映的重要问题。</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（八）根据县政府工作部署和县政府领导的指示，组织专题调研，及时反映情况，提出建议。</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（九）组织承办人大代表建议和政协提案工作。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（十）负责推进、指导、协调、监督全县政府信息公开工作。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（十一）负责政务信息（包括舆情信息）服务工作和全县政府系统机关电子政务工作，协同有关部门统筹协调县政府新闻宣传、舆情回应等工作。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（十三）负责县政府公务接待工作；做好县政府办公室有关行政事务工作。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（十四）负责综合性政策研究并向县政府提供决策咨询。</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（十五）负责关于党中央重要文件涉及县政府系统需落实事项、县委主要领导批示件和县委常委会会议决定、县委专题会议议定的涉及县政府系统落实事项的督办、汇总、反馈工作。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（十六）负责承办县政府提请县人大常委会任免议案和县政府任免人员的行政任免手续等有关事宜，承办县政府任命工作人员宪法宣誓工作。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（十八）贯彻执行国家、省、市有关人民防空的法律、法规和规章，结合我县实际，拟订人民防空工作管理办法、人民防空</w:t>
      </w:r>
      <w:r>
        <w:rPr>
          <w:rFonts w:hint="eastAsia" w:ascii="仿宋_GB2312" w:hAnsi="黑体" w:eastAsia="仿宋_GB2312"/>
          <w:spacing w:val="-4"/>
          <w:sz w:val="32"/>
          <w:szCs w:val="32"/>
        </w:rPr>
        <w:t>事业发展规划和年度计划，经县政府批准后组织实施和监督检查。</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（十九）管理人民防空工程建设；负责人民防空组织指挥工作；负责人民防空信息化建设；组织开展防空防灾宣传教育；战时组织指挥城乡群众开展防空袭斗争；承担县政府赋予的防灾救灾等应急保障任务。</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（二十）负责指导地方志编研工作。</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（二十一）完成县委、县政府交办的其他任务。</w:t>
      </w:r>
    </w:p>
    <w:p>
      <w:pPr>
        <w:adjustRightInd w:val="0"/>
        <w:spacing w:line="600" w:lineRule="exact"/>
        <w:ind w:firstLine="640"/>
        <w:rPr>
          <w:rFonts w:hint="eastAsia" w:ascii="仿宋_GB2312" w:hAnsi="黑体" w:eastAsia="仿宋_GB2312"/>
          <w:sz w:val="32"/>
          <w:szCs w:val="32"/>
        </w:rPr>
      </w:pPr>
    </w:p>
    <w:p>
      <w:pPr>
        <w:adjustRightInd w:val="0"/>
        <w:spacing w:line="600" w:lineRule="exact"/>
        <w:ind w:firstLine="640"/>
        <w:rPr>
          <w:rFonts w:hint="eastAsia" w:ascii="仿宋_GB2312" w:hAnsi="黑体" w:eastAsia="仿宋_GB2312"/>
          <w:sz w:val="32"/>
          <w:szCs w:val="32"/>
        </w:rPr>
      </w:pPr>
    </w:p>
    <w:p>
      <w:pPr>
        <w:spacing w:line="596"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隆尧县人民政府办公室（机关）</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部门预算的编制实行综合预算管理，即全部收入和支出都反映</w:t>
      </w:r>
      <w:r>
        <w:rPr>
          <w:rFonts w:hint="eastAsia" w:ascii="Times New Roman" w:hAnsi="Times New Roman" w:eastAsia="仿宋" w:cs="仿宋"/>
          <w:sz w:val="32"/>
          <w:szCs w:val="32"/>
          <w:lang w:eastAsia="zh-CN"/>
        </w:rPr>
        <w:t>到</w:t>
      </w:r>
      <w:r>
        <w:rPr>
          <w:rFonts w:hint="eastAsia" w:ascii="Times New Roman" w:hAnsi="Times New Roman" w:eastAsia="仿宋" w:cs="仿宋"/>
          <w:sz w:val="32"/>
          <w:szCs w:val="32"/>
        </w:rPr>
        <w:t>预算中。隆尧县人民政府办公室的收支包含在部门预算中。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年预算收入1955</w:t>
      </w:r>
      <w:r>
        <w:rPr>
          <w:rFonts w:hint="eastAsia" w:ascii="Times New Roman" w:hAnsi="Times New Roman" w:eastAsia="仿宋" w:cs="仿宋"/>
          <w:sz w:val="32"/>
          <w:szCs w:val="32"/>
          <w:lang w:val="en-US" w:eastAsia="zh-CN"/>
        </w:rPr>
        <w:t>.</w:t>
      </w:r>
      <w:r>
        <w:rPr>
          <w:rFonts w:hint="eastAsia" w:ascii="Times New Roman" w:hAnsi="Times New Roman" w:eastAsia="仿宋" w:cs="仿宋"/>
          <w:sz w:val="32"/>
          <w:szCs w:val="32"/>
        </w:rPr>
        <w:t>69万元，其中：一般公共预算收入1455</w:t>
      </w:r>
      <w:r>
        <w:rPr>
          <w:rFonts w:hint="eastAsia" w:ascii="Times New Roman" w:hAnsi="Times New Roman" w:eastAsia="仿宋" w:cs="仿宋"/>
          <w:sz w:val="32"/>
          <w:szCs w:val="32"/>
          <w:lang w:val="en-US" w:eastAsia="zh-CN"/>
        </w:rPr>
        <w:t>.</w:t>
      </w:r>
      <w:r>
        <w:rPr>
          <w:rFonts w:hint="eastAsia" w:ascii="Times New Roman" w:hAnsi="Times New Roman" w:eastAsia="仿宋" w:cs="仿宋"/>
          <w:sz w:val="32"/>
          <w:szCs w:val="32"/>
        </w:rPr>
        <w:t>69万元，基金预算收入</w:t>
      </w:r>
      <w:r>
        <w:rPr>
          <w:rFonts w:hint="eastAsia" w:ascii="Times New Roman" w:hAnsi="Times New Roman" w:eastAsia="仿宋" w:cs="Times New Roman"/>
          <w:sz w:val="32"/>
          <w:szCs w:val="32"/>
          <w:lang w:val="en-US" w:eastAsia="zh-CN"/>
        </w:rPr>
        <w:t>500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hint="default" w:ascii="Times New Roman" w:hAnsi="Times New Roman" w:eastAsia="仿宋" w:cs="仿宋"/>
          <w:sz w:val="32"/>
          <w:szCs w:val="32"/>
          <w:lang w:val="en-US" w:eastAsia="zh-CN"/>
        </w:rPr>
      </w:pPr>
      <w:r>
        <w:rPr>
          <w:rFonts w:hint="eastAsia" w:ascii="Times New Roman" w:hAnsi="Times New Roman" w:eastAsia="仿宋" w:cs="仿宋"/>
          <w:sz w:val="32"/>
          <w:szCs w:val="32"/>
        </w:rPr>
        <w:t>收支预算总表支出栏、基本支出表、项目支出表按经济分类和支出功能分类科目编制，反映隆尧县人民政府办公室年度部门预算中支出预算的总体情况。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1955.69</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val="en-US" w:eastAsia="zh-CN"/>
        </w:rPr>
        <w:t>477.47</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422.60</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54.87</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1478.22</w:t>
      </w:r>
      <w:r>
        <w:rPr>
          <w:rFonts w:hint="eastAsia" w:ascii="Times New Roman" w:hAnsi="Times New Roman" w:eastAsia="仿宋" w:cs="仿宋"/>
          <w:sz w:val="32"/>
          <w:szCs w:val="32"/>
        </w:rPr>
        <w:t>万元，主要为土地出让金/智慧城市建设项目二期</w:t>
      </w:r>
      <w:r>
        <w:rPr>
          <w:rFonts w:hint="eastAsia" w:ascii="Times New Roman" w:hAnsi="Times New Roman" w:eastAsia="仿宋" w:cs="仿宋"/>
          <w:sz w:val="32"/>
          <w:szCs w:val="32"/>
          <w:lang w:val="en-US" w:eastAsia="zh-CN"/>
        </w:rPr>
        <w:t>500万元，</w:t>
      </w:r>
      <w:r>
        <w:rPr>
          <w:rFonts w:hint="eastAsia" w:ascii="Times New Roman" w:hAnsi="Times New Roman" w:eastAsia="仿宋" w:cs="仿宋"/>
          <w:sz w:val="32"/>
          <w:szCs w:val="32"/>
        </w:rPr>
        <w:t>地方志经费</w:t>
      </w:r>
      <w:r>
        <w:rPr>
          <w:rFonts w:hint="eastAsia" w:ascii="Times New Roman" w:hAnsi="Times New Roman" w:eastAsia="仿宋" w:cs="Times New Roman"/>
          <w:sz w:val="32"/>
          <w:szCs w:val="32"/>
          <w:lang w:val="en-US" w:eastAsia="zh-CN"/>
        </w:rPr>
        <w:t>9.3</w:t>
      </w:r>
      <w:r>
        <w:rPr>
          <w:rFonts w:hint="eastAsia" w:ascii="Times New Roman" w:hAnsi="Times New Roman" w:eastAsia="仿宋" w:cs="仿宋"/>
          <w:sz w:val="32"/>
          <w:szCs w:val="32"/>
        </w:rPr>
        <w:t>万元，督查调研</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万元，金融办经费</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劳务服务</w:t>
      </w:r>
      <w:r>
        <w:rPr>
          <w:rFonts w:hint="eastAsia" w:ascii="Times New Roman" w:hAnsi="Times New Roman" w:eastAsia="仿宋" w:cs="仿宋"/>
          <w:sz w:val="32"/>
          <w:szCs w:val="32"/>
          <w:lang w:val="en-US" w:eastAsia="zh-CN"/>
        </w:rPr>
        <w:t>27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，劳务派遣人员经费</w:t>
      </w:r>
      <w:r>
        <w:rPr>
          <w:rFonts w:hint="eastAsia" w:ascii="Times New Roman" w:hAnsi="Times New Roman" w:eastAsia="仿宋" w:cs="仿宋"/>
          <w:sz w:val="32"/>
          <w:szCs w:val="32"/>
          <w:lang w:val="en-US" w:eastAsia="zh-CN"/>
        </w:rPr>
        <w:t>39.91万元，</w:t>
      </w:r>
      <w:r>
        <w:rPr>
          <w:rFonts w:hint="eastAsia" w:ascii="Times New Roman" w:hAnsi="Times New Roman" w:eastAsia="仿宋" w:cs="仿宋"/>
          <w:sz w:val="32"/>
          <w:szCs w:val="32"/>
        </w:rPr>
        <w:t>人防办经费</w:t>
      </w:r>
      <w:r>
        <w:rPr>
          <w:rFonts w:hint="eastAsia" w:ascii="Times New Roman" w:hAnsi="Times New Roman" w:eastAsia="仿宋" w:cs="Times New Roman"/>
          <w:sz w:val="32"/>
          <w:szCs w:val="32"/>
          <w:lang w:val="en-US" w:eastAsia="zh-CN"/>
        </w:rPr>
        <w:t>4.2</w:t>
      </w:r>
      <w:r>
        <w:rPr>
          <w:rFonts w:hint="eastAsia" w:ascii="Times New Roman" w:hAnsi="Times New Roman" w:eastAsia="仿宋" w:cs="仿宋"/>
          <w:sz w:val="32"/>
          <w:szCs w:val="32"/>
        </w:rPr>
        <w:t>万元，三地清退核查小组专班工作经费</w:t>
      </w:r>
      <w:r>
        <w:rPr>
          <w:rFonts w:hint="eastAsia" w:ascii="Times New Roman" w:hAnsi="Times New Roman" w:eastAsia="仿宋" w:cs="仿宋"/>
          <w:sz w:val="32"/>
          <w:szCs w:val="32"/>
          <w:lang w:val="en-US" w:eastAsia="zh-CN"/>
        </w:rPr>
        <w:t>39.78万元，视频点名项目21.82万元，县政府机关办公场所维修项目52.51万元，政府办养老保险等借款448.3万元，政府办专项公用经费192.6万元，政务公开办经费95.98万元，智慧中心经费29.42万元，综合治税经费4.2万元。</w:t>
      </w:r>
    </w:p>
    <w:p>
      <w:pPr>
        <w:numPr>
          <w:ilvl w:val="0"/>
          <w:numId w:val="1"/>
        </w:num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比上年增减情况</w:t>
      </w:r>
    </w:p>
    <w:p>
      <w:pPr>
        <w:ind w:firstLine="640" w:firstLineChars="200"/>
        <w:rPr>
          <w:rFonts w:hint="eastAsia" w:ascii="Times New Roman" w:hAnsi="Times New Roman" w:eastAsia="仿宋" w:cs="仿宋"/>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1955.69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w:t>
      </w:r>
      <w:r>
        <w:rPr>
          <w:rFonts w:hint="eastAsia" w:ascii="Times New Roman" w:hAnsi="Times New Roman" w:eastAsia="仿宋" w:cs="仿宋"/>
          <w:sz w:val="32"/>
          <w:szCs w:val="32"/>
          <w:lang w:eastAsia="zh-CN"/>
        </w:rPr>
        <w:t>预算</w:t>
      </w:r>
      <w:r>
        <w:rPr>
          <w:rFonts w:hint="eastAsia" w:ascii="Times New Roman" w:hAnsi="Times New Roman" w:eastAsia="仿宋" w:cs="仿宋"/>
          <w:sz w:val="32"/>
          <w:szCs w:val="32"/>
        </w:rPr>
        <w:t>增长</w:t>
      </w:r>
      <w:r>
        <w:rPr>
          <w:rFonts w:hint="eastAsia" w:ascii="Times New Roman" w:hAnsi="Times New Roman" w:eastAsia="仿宋" w:cs="Times New Roman"/>
          <w:sz w:val="32"/>
          <w:szCs w:val="32"/>
          <w:lang w:val="en-US" w:eastAsia="zh-CN"/>
        </w:rPr>
        <w:t>100.52</w:t>
      </w:r>
      <w:r>
        <w:rPr>
          <w:rFonts w:hint="eastAsia" w:ascii="Times New Roman" w:hAnsi="Times New Roman" w:eastAsia="仿宋" w:cs="仿宋"/>
          <w:sz w:val="32"/>
          <w:szCs w:val="32"/>
        </w:rPr>
        <w:t>万元，其中：基本支出增长</w:t>
      </w:r>
      <w:r>
        <w:rPr>
          <w:rFonts w:hint="eastAsia" w:ascii="Times New Roman" w:hAnsi="Times New Roman" w:eastAsia="仿宋" w:cs="Times New Roman"/>
          <w:sz w:val="32"/>
          <w:szCs w:val="32"/>
          <w:lang w:val="en-US" w:eastAsia="zh-CN"/>
        </w:rPr>
        <w:t>6.58</w:t>
      </w:r>
      <w:r>
        <w:rPr>
          <w:rFonts w:hint="eastAsia" w:ascii="Times New Roman" w:hAnsi="Times New Roman" w:eastAsia="仿宋" w:cs="仿宋"/>
          <w:sz w:val="32"/>
          <w:szCs w:val="32"/>
        </w:rPr>
        <w:t>万元，主要是增加</w:t>
      </w:r>
      <w:r>
        <w:rPr>
          <w:rFonts w:hint="eastAsia" w:ascii="Times New Roman" w:hAnsi="Times New Roman" w:eastAsia="仿宋" w:cs="仿宋"/>
          <w:sz w:val="32"/>
          <w:szCs w:val="32"/>
          <w:lang w:eastAsia="zh-CN"/>
        </w:rPr>
        <w:t>人员工资及社保</w:t>
      </w:r>
      <w:r>
        <w:rPr>
          <w:rFonts w:hint="eastAsia" w:ascii="Times New Roman" w:hAnsi="Times New Roman" w:eastAsia="仿宋" w:cs="仿宋"/>
          <w:sz w:val="32"/>
          <w:szCs w:val="32"/>
        </w:rPr>
        <w:t>经费；项目支出增长</w:t>
      </w:r>
      <w:r>
        <w:rPr>
          <w:rFonts w:hint="eastAsia" w:ascii="Times New Roman" w:hAnsi="Times New Roman" w:eastAsia="仿宋" w:cs="Times New Roman"/>
          <w:sz w:val="32"/>
          <w:szCs w:val="32"/>
          <w:lang w:val="en-US" w:eastAsia="zh-CN"/>
        </w:rPr>
        <w:t>93.94</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智慧城市建设项目二期</w:t>
      </w:r>
      <w:r>
        <w:rPr>
          <w:rFonts w:hint="eastAsia" w:ascii="Times New Roman" w:hAnsi="Times New Roman" w:eastAsia="仿宋" w:cs="仿宋"/>
          <w:sz w:val="32"/>
          <w:szCs w:val="32"/>
        </w:rPr>
        <w:t>等。</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20</w:t>
      </w:r>
      <w:r>
        <w:rPr>
          <w:rFonts w:hint="eastAsia" w:ascii="Times New Roman" w:hAnsi="Times New Roman" w:eastAsia="仿宋" w:cs="Times New Roman"/>
          <w:color w:val="auto"/>
          <w:sz w:val="32"/>
          <w:szCs w:val="32"/>
          <w:lang w:val="en-US" w:eastAsia="zh-CN"/>
        </w:rPr>
        <w:t>21</w:t>
      </w:r>
      <w:r>
        <w:rPr>
          <w:rFonts w:hint="eastAsia" w:ascii="Times New Roman" w:hAnsi="Times New Roman" w:eastAsia="仿宋" w:cs="仿宋"/>
          <w:color w:val="auto"/>
          <w:sz w:val="32"/>
          <w:szCs w:val="32"/>
        </w:rPr>
        <w:t>年，我部门机关运行经费共计安排</w:t>
      </w:r>
      <w:r>
        <w:rPr>
          <w:rFonts w:hint="eastAsia" w:ascii="Times New Roman" w:hAnsi="Times New Roman" w:eastAsia="仿宋" w:cs="Times New Roman"/>
          <w:color w:val="auto"/>
          <w:sz w:val="32"/>
          <w:szCs w:val="32"/>
          <w:lang w:val="en-US" w:eastAsia="zh-CN"/>
        </w:rPr>
        <w:t>54.868</w:t>
      </w:r>
      <w:r>
        <w:rPr>
          <w:rFonts w:hint="eastAsia" w:ascii="Times New Roman" w:hAnsi="Times New Roman" w:eastAsia="仿宋" w:cs="仿宋"/>
          <w:color w:val="auto"/>
          <w:sz w:val="32"/>
          <w:szCs w:val="32"/>
        </w:rPr>
        <w:t>万元，主要用于保证机关正常运转的</w:t>
      </w:r>
      <w:r>
        <w:rPr>
          <w:rFonts w:hint="eastAsia" w:ascii="Times New Roman" w:hAnsi="Times New Roman" w:eastAsia="仿宋" w:cs="Times New Roman"/>
          <w:color w:val="auto"/>
          <w:sz w:val="32"/>
          <w:szCs w:val="32"/>
        </w:rPr>
        <w:t>办公及印刷费、办公用房水电费、日常维修费等支出。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51.5</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val="en-US" w:eastAsia="zh-CN"/>
        </w:rPr>
        <w:t>,与上年持平，主要原因为本年度未发生出国费用。</w:t>
      </w:r>
      <w:r>
        <w:rPr>
          <w:rFonts w:hint="eastAsia" w:ascii="Times New Roman" w:hAnsi="Times New Roman" w:eastAsia="仿宋" w:cs="仿宋"/>
          <w:sz w:val="32"/>
          <w:szCs w:val="32"/>
        </w:rPr>
        <w:t>公务用车购置及运维费</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，较上年增加</w:t>
      </w:r>
      <w:r>
        <w:rPr>
          <w:rFonts w:hint="eastAsia" w:ascii="Times New Roman" w:hAnsi="Times New Roman" w:eastAsia="仿宋" w:cs="Times New Roman"/>
          <w:sz w:val="32"/>
          <w:szCs w:val="32"/>
          <w:lang w:val="en-US" w:eastAsia="zh-CN"/>
        </w:rPr>
        <w:t>3万元，主要原因为本年度安排公务用车运行维护费。</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48.5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较上年</w:t>
      </w:r>
      <w:r>
        <w:rPr>
          <w:rFonts w:hint="eastAsia" w:ascii="Times New Roman" w:hAnsi="Times New Roman" w:eastAsia="仿宋" w:cs="仿宋"/>
          <w:sz w:val="32"/>
          <w:szCs w:val="32"/>
          <w:lang w:eastAsia="zh-CN"/>
        </w:rPr>
        <w:t>增加</w:t>
      </w:r>
      <w:r>
        <w:rPr>
          <w:rFonts w:hint="eastAsia" w:ascii="Times New Roman" w:hAnsi="Times New Roman" w:eastAsia="仿宋" w:cs="Times New Roman"/>
          <w:sz w:val="32"/>
          <w:szCs w:val="32"/>
          <w:lang w:val="en-US" w:eastAsia="zh-CN"/>
        </w:rPr>
        <w:t>28.3</w:t>
      </w:r>
      <w:r>
        <w:rPr>
          <w:rFonts w:hint="eastAsia" w:ascii="Times New Roman" w:hAnsi="Times New Roman" w:eastAsia="仿宋" w:cs="仿宋"/>
          <w:sz w:val="32"/>
          <w:szCs w:val="32"/>
        </w:rPr>
        <w:t>万元，主要原因为</w:t>
      </w:r>
      <w:r>
        <w:rPr>
          <w:rFonts w:hint="eastAsia" w:ascii="Times New Roman" w:hAnsi="Times New Roman" w:eastAsia="仿宋" w:cs="仿宋"/>
          <w:sz w:val="32"/>
          <w:szCs w:val="32"/>
          <w:lang w:eastAsia="zh-CN"/>
        </w:rPr>
        <w:t>今年公务接待任务比较多</w:t>
      </w:r>
      <w:r>
        <w:rPr>
          <w:rFonts w:hint="eastAsia" w:ascii="Times New Roman" w:hAnsi="Times New Roman" w:eastAsia="仿宋" w:cs="仿宋"/>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883" w:firstLineChars="275"/>
        <w:rPr>
          <w:rFonts w:ascii="Times New Roman" w:hAnsi="Times New Roman" w:eastAsia="仿宋" w:cs="Times New Roman"/>
          <w:b/>
          <w:bCs/>
          <w:sz w:val="32"/>
          <w:szCs w:val="32"/>
        </w:rPr>
      </w:pPr>
      <w:bookmarkStart w:id="0" w:name="_Toc471398463"/>
      <w:r>
        <w:rPr>
          <w:rFonts w:hint="eastAsia" w:ascii="Times New Roman" w:hAnsi="Times New Roman" w:eastAsia="仿宋" w:cs="仿宋"/>
          <w:b/>
          <w:bCs/>
          <w:sz w:val="32"/>
          <w:szCs w:val="32"/>
        </w:rPr>
        <w:t>总体绩效目标：</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职责分类绩效目标：</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bookmarkEnd w:id="0"/>
    <w:p>
      <w:pPr>
        <w:autoSpaceDE w:val="0"/>
        <w:autoSpaceDN w:val="0"/>
        <w:adjustRightInd w:val="0"/>
        <w:ind w:left="198" w:firstLine="643" w:firstLineChars="200"/>
        <w:jc w:val="left"/>
        <w:rPr>
          <w:rFonts w:ascii="Times New Roman" w:hAnsi="Times New Roman" w:eastAsia="仿宋" w:cs="Times New Roman"/>
          <w:b/>
          <w:bCs/>
          <w:color w:val="auto"/>
          <w:sz w:val="32"/>
          <w:szCs w:val="32"/>
        </w:rPr>
      </w:pPr>
      <w:r>
        <w:rPr>
          <w:rFonts w:hint="eastAsia" w:ascii="Times New Roman" w:hAnsi="Times New Roman" w:eastAsia="仿宋" w:cs="仿宋"/>
          <w:b/>
          <w:bCs/>
          <w:color w:val="auto"/>
          <w:sz w:val="32"/>
          <w:szCs w:val="32"/>
        </w:rPr>
        <w:t>部门职责及工作活动绩效目标指标：</w:t>
      </w:r>
    </w:p>
    <w:p>
      <w:pPr>
        <w:jc w:val="center"/>
        <w:outlineLvl w:val="0"/>
        <w:rPr>
          <w:rFonts w:ascii="方正小标宋_GBK" w:hAnsi="Times New Roman" w:eastAsia="方正小标宋_GBK" w:cs="Times New Roman"/>
          <w:sz w:val="32"/>
          <w:szCs w:val="32"/>
        </w:rPr>
      </w:pPr>
    </w:p>
    <w:p>
      <w:pPr>
        <w:jc w:val="center"/>
        <w:outlineLvl w:val="0"/>
        <w:rPr>
          <w:rFonts w:ascii="方正小标宋_GBK" w:eastAsia="方正小标宋_GBK" w:cs="Times New Roman"/>
          <w:color w:val="FFFFFF"/>
          <w:sz w:val="32"/>
          <w:szCs w:val="32"/>
        </w:rPr>
      </w:pPr>
      <w:bookmarkStart w:id="1" w:name="_Toc1980000"/>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9"/>
          <w:rFonts w:hint="eastAsia" w:ascii="方正小标宋_GBK" w:hAnsi="Symbol" w:eastAsia="方正小标宋_GBK" w:cs="Times New Roman"/>
          <w:color w:val="FFFFFF"/>
          <w:sz w:val="32"/>
          <w:szCs w:val="32"/>
        </w:rPr>
        <w:footnoteReference w:id="0" w:customMarkFollows="1"/>
        <w:sym w:font="Symbol" w:char="F020"/>
      </w:r>
      <w:bookmarkEnd w:id="1"/>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434</w:t>
            </w:r>
            <w:r>
              <w:rPr>
                <w:rFonts w:hint="eastAsia" w:ascii="方正小标宋_GBK" w:eastAsia="方正小标宋_GBK" w:cs="方正小标宋_GBK"/>
                <w:sz w:val="24"/>
                <w:szCs w:val="24"/>
              </w:rPr>
              <w:t>隆尧县政府办</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w:t>
            </w:r>
            <w:r>
              <w:rPr>
                <w:rFonts w:hint="eastAsia" w:ascii="方正书宋_GBK" w:eastAsia="方正书宋_GBK" w:cs="方正书宋_GBK"/>
                <w:sz w:val="24"/>
                <w:szCs w:val="24"/>
                <w:lang w:eastAsia="zh-CN"/>
              </w:rPr>
              <w:t>万</w:t>
            </w:r>
            <w:r>
              <w:rPr>
                <w:rFonts w:hint="eastAsia" w:ascii="方正书宋_GBK" w:eastAsia="方正书宋_GBK" w:cs="方正书宋_GBK"/>
                <w:sz w:val="24"/>
                <w:szCs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cs="Times New Roman"/>
              </w:rPr>
            </w:pPr>
          </w:p>
        </w:tc>
        <w:tc>
          <w:tcPr>
            <w:tcW w:w="12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1417" w:type="dxa"/>
            <w:vMerge w:val="continue"/>
            <w:vAlign w:val="center"/>
          </w:tcPr>
          <w:p>
            <w:pPr>
              <w:spacing w:line="300" w:lineRule="exact"/>
              <w:jc w:val="left"/>
              <w:outlineLvl w:val="0"/>
              <w:rPr>
                <w:rFonts w:cs="Times New Roman"/>
              </w:rPr>
            </w:pP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一、政务公开</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368.0862</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承担县政务公开暨行政权力公开透明运行工作领导小组的日常工作，指导和协调全县政务公开及政务服务中心建设、推进行政服务体系标准化建设工作；推进、指导、协调、监督权县政府信息公开工作。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凸出政务、加强事务、提升服务，力求重点工作出精品，难点工作求突破、基础工作有创新、常规工作见特色。以机关干部作风量化指标为依据，增强了工作综合服务实力。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、政务公开</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368.0862</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承担县政务公开暨行政权力公开透明运行工作领导小组的日常工作，指导和协调全县政务公开及政务服务中心建设、推进行政服务体系标准化建设工作；推进、指导、协调、监督权县政府信息公开工作。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凸出政务、加强事务、提升服务，力求重点工作出精品，难点工作求突破、基础工作有创新、常规工作见特色。以机关干部作风量化指标为依据，增强了工作综合服务实力。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政务公开率</w:t>
            </w:r>
          </w:p>
        </w:tc>
        <w:tc>
          <w:tcPr>
            <w:tcW w:w="737" w:type="dxa"/>
            <w:vAlign w:val="center"/>
          </w:tcPr>
          <w:p>
            <w:pPr>
              <w:spacing w:line="300" w:lineRule="exact"/>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二、地方金融机构建设和监管</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9</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拟定加强地方金融机构建设的指导意见，组织协调新设立的地方法人金融机构的谋划、申报等前期工作，指导新型农村金融机构组建和发展，负责全县农村信用社改革的组织、协调。</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促进地方金融机构健康发展</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政策研究和文件发布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完成并发布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、地方金融机构建设</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9</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拟定加强地方金融机构建设的指导意见，组织协调新设立的地方法人金融机构的谋划、申报等前期工作，指导新型农村金融机构组建和发展，组织、协调全县农村信用社改革。</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促进地方金融机构健康发展</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政策研究和文件发布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完成并发布</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未开展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三、督查督办</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43.985</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政务公开、县政府会议管理、督察督办、政务联络等工作。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突出政务、加强事务、提升服务，力求重点工作出精品，难点工作求突破、基础工作有创新、常规工作见特色。以机关干部作风量化指标为依据，增强了工作综合服务实力。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决策部署督查反馈率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、督查督办</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43.985</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督促检查县政府各部门对市政府和县政府决定事项及市政府、县政府领导重要指示的执行落实情况并跟踪调研，及时向县政府领导报告。组织承办人大代表和政协提案工作。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突出政务、加强事务、提升服务，力求重点工作出精品，难点工作求突破、基础工作有创新、常规工作见特色。以机关干部作风量化指标为依据，增强了工作综合服务实力。</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决策部署督查反馈率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lang w:eastAsia="zh-CN"/>
              </w:rPr>
              <w:t>四</w:t>
            </w:r>
            <w:r>
              <w:rPr>
                <w:rFonts w:hint="eastAsia" w:ascii="方正书宋_GBK" w:eastAsia="方正书宋_GBK" w:cs="方正书宋_GBK"/>
                <w:b/>
                <w:bCs/>
              </w:rPr>
              <w:t>、电子政务管理</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103.9451</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政务信息服务工作和全县政府系统机关电子政务工作。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确保各类会议顺利进行；保障县政府网络系统安全、稳定运行，技术设备安全可用。严格执行会议技术保障服务流程和电视电话会议室管理制度。切实提高技术保障和服务能力，力争领导满意、群众满意、部门满意。</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网站事故次数</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0</w:t>
            </w:r>
            <w:r>
              <w:rPr>
                <w:rFonts w:hint="eastAsia" w:ascii="方正书宋_GBK" w:eastAsia="方正书宋_GBK" w:cs="方正书宋_GBK"/>
              </w:rPr>
              <w:t>次</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5</w:t>
            </w:r>
            <w:r>
              <w:rPr>
                <w:rFonts w:hint="eastAsia" w:ascii="方正书宋_GBK" w:eastAsia="方正书宋_GBK" w:cs="方正书宋_GBK"/>
              </w:rPr>
              <w:t>次及以下</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w:t>
            </w:r>
            <w:r>
              <w:rPr>
                <w:rFonts w:hint="eastAsia" w:ascii="方正书宋_GBK" w:eastAsia="方正书宋_GBK" w:cs="方正书宋_GBK"/>
              </w:rPr>
              <w:t>次及以下</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15</w:t>
            </w:r>
            <w:r>
              <w:rPr>
                <w:rFonts w:hint="eastAsia" w:ascii="方正书宋_GBK" w:eastAsia="方正书宋_GBK" w:cs="方正书宋_GBK"/>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、政府电子政务管理与服务</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103.9451</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政务信息服务工作和全县政府系统机关电子政务工作。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确保各类会议顺利进行；保障县政府网络系统安全、稳定运行，技术设备安全可用。严格执行会议技术保障服务流程和电视电话会议室管理制度。切实提高技术保障和服务能力，力争领导满意、群众满意、部门满意。</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网站事故次数</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0</w:t>
            </w:r>
            <w:r>
              <w:rPr>
                <w:rFonts w:hint="eastAsia" w:ascii="方正书宋_GBK" w:eastAsia="方正书宋_GBK" w:cs="方正书宋_GBK"/>
              </w:rPr>
              <w:t>次</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5</w:t>
            </w:r>
            <w:r>
              <w:rPr>
                <w:rFonts w:hint="eastAsia" w:ascii="方正书宋_GBK" w:eastAsia="方正书宋_GBK" w:cs="方正书宋_GBK"/>
              </w:rPr>
              <w:t>次及以下</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w:t>
            </w:r>
            <w:r>
              <w:rPr>
                <w:rFonts w:hint="eastAsia" w:ascii="方正书宋_GBK" w:eastAsia="方正书宋_GBK" w:cs="方正书宋_GBK"/>
              </w:rPr>
              <w:t>次及以下</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15</w:t>
            </w:r>
            <w:r>
              <w:rPr>
                <w:rFonts w:hint="eastAsia" w:ascii="方正书宋_GBK" w:eastAsia="方正书宋_GBK" w:cs="方正书宋_GBK"/>
              </w:rPr>
              <w:t>次及以下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lang w:eastAsia="zh-CN"/>
              </w:rPr>
              <w:t>五</w:t>
            </w:r>
            <w:r>
              <w:rPr>
                <w:rFonts w:hint="eastAsia" w:ascii="方正书宋_GBK" w:eastAsia="方正书宋_GBK" w:cs="方正书宋_GBK"/>
                <w:b/>
                <w:bCs/>
              </w:rPr>
              <w:t>、指导、监督成员单位</w:t>
            </w:r>
          </w:p>
        </w:tc>
        <w:tc>
          <w:tcPr>
            <w:tcW w:w="1276" w:type="dxa"/>
            <w:vAlign w:val="center"/>
          </w:tcPr>
          <w:p>
            <w:pPr>
              <w:spacing w:line="300" w:lineRule="exact"/>
              <w:jc w:val="left"/>
              <w:rPr>
                <w:rFonts w:hint="default" w:ascii="方正书宋_GBK" w:eastAsia="方正书宋_GBK" w:cs="Times New Roman"/>
                <w:lang w:val="en-US" w:eastAsia="zh-CN"/>
              </w:rPr>
            </w:pPr>
            <w:r>
              <w:rPr>
                <w:rFonts w:hint="eastAsia" w:ascii="方正书宋_GBK" w:eastAsia="方正书宋_GBK" w:cs="方正书宋_GBK"/>
                <w:lang w:val="en-US" w:eastAsia="zh-CN"/>
              </w:rPr>
              <w:t>13.5</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指导、监督全县综合治税成员单位工作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监督成员单位及时、完整、准确上报涉税信息，强化业务培训，不断提高业务素质</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涉税信息处理反馈率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、业务培训</w:t>
            </w:r>
          </w:p>
        </w:tc>
        <w:tc>
          <w:tcPr>
            <w:tcW w:w="1276" w:type="dxa"/>
            <w:vAlign w:val="center"/>
          </w:tcPr>
          <w:p>
            <w:pPr>
              <w:spacing w:line="300" w:lineRule="exact"/>
              <w:jc w:val="left"/>
              <w:rPr>
                <w:rFonts w:hint="default" w:ascii="方正书宋_GBK" w:eastAsia="方正书宋_GBK" w:cs="Times New Roman"/>
                <w:lang w:val="en-US" w:eastAsia="zh-CN"/>
              </w:rPr>
            </w:pPr>
            <w:r>
              <w:rPr>
                <w:rFonts w:hint="eastAsia" w:ascii="方正书宋_GBK" w:eastAsia="方正书宋_GBK" w:cs="方正书宋_GBK"/>
                <w:lang w:val="en-US" w:eastAsia="zh-CN"/>
              </w:rPr>
              <w:t>13.5</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指导、监督全县综合治税成员单位工作</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监督成员单位及时、完整、准确上报涉税信息，强化业务培训，不断提高业务素质</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涉税信息处理反馈率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lang w:eastAsia="zh-CN"/>
              </w:rPr>
              <w:t>六</w:t>
            </w:r>
            <w:r>
              <w:rPr>
                <w:rFonts w:hint="eastAsia" w:ascii="方正书宋_GBK" w:eastAsia="方正书宋_GBK" w:cs="方正书宋_GBK"/>
                <w:b/>
                <w:bCs/>
              </w:rPr>
              <w:t>、人防事务管理</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4.2</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开展人防法规制度建设；拟定防空事业发展规划，编制人民防空工作年度计划；组织开展防空防灾宣传教育、防空科研；负责人民防空经费和资产管理；指导防空专用设备器材的生产和引进；组织开展人民防空干部教育培训。</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规划、计划不断科学完善，法规制度进一步健全。防空防灾宣传教育成效进一步巩固深化，人防建设成果充分展现，人防建设环境进一步优化，群众防空防灾应急处置能力进一步提高；人防宣教基地（场所）运行良好。</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初级中学人防宣传教育覆盖率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Times New Roman"/>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、综合事务管理</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4.2</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开展人防法规制度建设；拟定防空事业发展规划，编制人民防空工作年度计划；组织开展防空防灾宣传教育、防空科研；负责人民防空经费和资产管理；指导防空专用设备器材的生产和引进；组织开展人民防空干部教育培训。</w:t>
            </w:r>
          </w:p>
        </w:tc>
        <w:tc>
          <w:tcPr>
            <w:tcW w:w="2976"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规划、计划不断科学完善，法规制度进一步健全。防空防灾宣传教育成效进一步巩固深化，人防建设成果充分展现，人防建设环境进一步优化，群众防空防灾应急处置能力进一步提高；人防宣教基地（场所）运行良好。</w:t>
            </w:r>
          </w:p>
        </w:tc>
        <w:tc>
          <w:tcPr>
            <w:tcW w:w="141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初级中学人防宣传教育覆盖率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80%</w:t>
            </w:r>
            <w:r>
              <w:rPr>
                <w:rFonts w:hint="eastAsia" w:ascii="方正书宋_GBK" w:eastAsia="方正书宋_GBK" w:cs="方正书宋_GBK"/>
              </w:rPr>
              <w:t>以下</w:t>
            </w:r>
          </w:p>
        </w:tc>
      </w:tr>
    </w:tbl>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2"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年，我部门安排政府采购预算</w:t>
      </w:r>
      <w:r>
        <w:rPr>
          <w:rFonts w:hint="eastAsia" w:ascii="Times New Roman" w:hAnsi="Times New Roman" w:eastAsia="仿宋" w:cs="仿宋"/>
          <w:sz w:val="32"/>
          <w:szCs w:val="32"/>
          <w:lang w:val="en-US" w:eastAsia="zh-CN"/>
        </w:rPr>
        <w:t>500</w:t>
      </w:r>
      <w:r>
        <w:rPr>
          <w:rFonts w:hint="eastAsia" w:ascii="Times New Roman" w:hAnsi="Times New Roman" w:eastAsia="仿宋" w:cs="仿宋"/>
          <w:sz w:val="32"/>
          <w:szCs w:val="32"/>
        </w:rPr>
        <w:t>万元。具体内容见下表。</w:t>
      </w:r>
      <w:bookmarkEnd w:id="2"/>
    </w:p>
    <w:p>
      <w:pPr>
        <w:jc w:val="center"/>
        <w:outlineLvl w:val="0"/>
        <w:rPr>
          <w:rFonts w:ascii="方正小标宋_GBK" w:eastAsia="方正小标宋_GBK" w:cs="Times New Roman"/>
          <w:sz w:val="32"/>
          <w:szCs w:val="32"/>
        </w:rPr>
      </w:pPr>
      <w:bookmarkStart w:id="3" w:name="_Toc535404684"/>
      <w:r>
        <w:rPr>
          <w:rFonts w:hint="eastAsia" w:ascii="方正小标宋_GBK" w:eastAsia="方正小标宋_GBK" w:cs="方正小标宋_GBK"/>
          <w:sz w:val="32"/>
          <w:szCs w:val="32"/>
        </w:rPr>
        <w:t>部门政府采购预算</w:t>
      </w:r>
      <w:bookmarkEnd w:id="3"/>
    </w:p>
    <w:p>
      <w:pPr>
        <w:spacing w:line="300" w:lineRule="exact"/>
        <w:jc w:val="left"/>
        <w:outlineLvl w:val="0"/>
        <w:rPr>
          <w:rFonts w:cs="Times New Roman"/>
        </w:rPr>
      </w:pP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280"/>
        <w:gridCol w:w="780"/>
        <w:gridCol w:w="700"/>
        <w:gridCol w:w="1294"/>
        <w:gridCol w:w="1376"/>
        <w:gridCol w:w="892"/>
        <w:gridCol w:w="1368"/>
        <w:gridCol w:w="900"/>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434</w:t>
            </w:r>
            <w:r>
              <w:rPr>
                <w:rFonts w:hint="eastAsia" w:ascii="方正小标宋_GBK" w:eastAsia="方正小标宋_GBK"/>
                <w:sz w:val="24"/>
              </w:rPr>
              <w:t>隆尧县政府办</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70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9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outlineLvl w:val="1"/>
              <w:rPr>
                <w:rFonts w:ascii="Times New Roman" w:eastAsia="方正仿宋_GBK"/>
                <w:sz w:val="28"/>
              </w:rPr>
            </w:pPr>
          </w:p>
        </w:tc>
        <w:tc>
          <w:tcPr>
            <w:tcW w:w="1280" w:type="dxa"/>
            <w:vMerge w:val="continue"/>
            <w:noWrap w:val="0"/>
            <w:vAlign w:val="center"/>
          </w:tcPr>
          <w:p>
            <w:pPr>
              <w:spacing w:line="300" w:lineRule="exact"/>
              <w:jc w:val="left"/>
              <w:outlineLvl w:val="1"/>
              <w:rPr>
                <w:rFonts w:ascii="Times New Roman" w:eastAsia="方正仿宋_GBK"/>
                <w:sz w:val="28"/>
              </w:rPr>
            </w:pPr>
          </w:p>
        </w:tc>
        <w:tc>
          <w:tcPr>
            <w:tcW w:w="780" w:type="dxa"/>
            <w:vMerge w:val="continue"/>
            <w:noWrap w:val="0"/>
            <w:vAlign w:val="center"/>
          </w:tcPr>
          <w:p>
            <w:pPr>
              <w:spacing w:line="300" w:lineRule="exact"/>
              <w:jc w:val="left"/>
              <w:outlineLvl w:val="1"/>
              <w:rPr>
                <w:rFonts w:ascii="Times New Roman" w:eastAsia="方正仿宋_GBK"/>
                <w:sz w:val="28"/>
              </w:rPr>
            </w:pPr>
          </w:p>
        </w:tc>
        <w:tc>
          <w:tcPr>
            <w:tcW w:w="700" w:type="dxa"/>
            <w:vMerge w:val="continue"/>
            <w:noWrap w:val="0"/>
            <w:vAlign w:val="center"/>
          </w:tcPr>
          <w:p>
            <w:pPr>
              <w:spacing w:line="300" w:lineRule="exact"/>
              <w:jc w:val="left"/>
              <w:outlineLvl w:val="1"/>
              <w:rPr>
                <w:rFonts w:ascii="Times New Roman" w:eastAsia="方正仿宋_GBK"/>
                <w:sz w:val="28"/>
              </w:rPr>
            </w:pPr>
          </w:p>
        </w:tc>
        <w:tc>
          <w:tcPr>
            <w:tcW w:w="1294" w:type="dxa"/>
            <w:vMerge w:val="continue"/>
            <w:noWrap w:val="0"/>
            <w:vAlign w:val="center"/>
          </w:tcPr>
          <w:p>
            <w:pPr>
              <w:spacing w:line="300" w:lineRule="exact"/>
              <w:jc w:val="left"/>
              <w:outlineLvl w:val="1"/>
              <w:rPr>
                <w:rFonts w:ascii="Times New Roman" w:eastAsia="方正仿宋_GBK"/>
                <w:sz w:val="28"/>
              </w:rPr>
            </w:pPr>
          </w:p>
        </w:tc>
        <w:tc>
          <w:tcPr>
            <w:tcW w:w="1376"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92"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368"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0"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ascii="方正书宋_GBK" w:eastAsia="方正书宋_GBK"/>
                <w:b/>
              </w:rPr>
            </w:pP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ascii="方正书宋_GBK" w:eastAsia="方正书宋_GBK"/>
                <w:b/>
              </w:rPr>
            </w:pPr>
            <w:r>
              <w:rPr>
                <w:rFonts w:hint="eastAsia" w:ascii="方正书宋_GBK" w:eastAsia="方正书宋_GBK"/>
                <w:lang w:val="en-US" w:eastAsia="zh-CN"/>
              </w:rPr>
              <w:t>500</w:t>
            </w:r>
          </w:p>
        </w:tc>
        <w:tc>
          <w:tcPr>
            <w:tcW w:w="892" w:type="dxa"/>
            <w:noWrap w:val="0"/>
            <w:vAlign w:val="center"/>
          </w:tcPr>
          <w:p>
            <w:pPr>
              <w:spacing w:line="300" w:lineRule="exact"/>
              <w:jc w:val="right"/>
              <w:rPr>
                <w:rFonts w:ascii="方正书宋_GBK" w:eastAsia="方正书宋_GBK"/>
                <w:b/>
              </w:rPr>
            </w:pPr>
          </w:p>
        </w:tc>
        <w:tc>
          <w:tcPr>
            <w:tcW w:w="1368" w:type="dxa"/>
            <w:noWrap w:val="0"/>
            <w:vAlign w:val="center"/>
          </w:tcPr>
          <w:p>
            <w:pPr>
              <w:spacing w:line="300" w:lineRule="exact"/>
              <w:jc w:val="right"/>
              <w:rPr>
                <w:rFonts w:ascii="方正书宋_GBK" w:eastAsia="方正书宋_GBK"/>
                <w:b/>
              </w:rPr>
            </w:pPr>
            <w:r>
              <w:rPr>
                <w:rFonts w:hint="eastAsia" w:ascii="方正书宋_GBK" w:eastAsia="方正书宋_GBK"/>
                <w:lang w:val="en-US" w:eastAsia="zh-CN"/>
              </w:rPr>
              <w:t>500</w:t>
            </w: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隆尧县人民政府办公室本级小计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ascii="方正书宋_GBK" w:eastAsia="方正书宋_GBK"/>
                <w:b/>
              </w:rPr>
            </w:pP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ascii="方正书宋_GBK" w:eastAsia="方正书宋_GBK"/>
                <w:b/>
              </w:rPr>
            </w:pPr>
            <w:r>
              <w:rPr>
                <w:rFonts w:hint="eastAsia" w:ascii="方正书宋_GBK" w:eastAsia="方正书宋_GBK"/>
                <w:lang w:val="en-US" w:eastAsia="zh-CN"/>
              </w:rPr>
              <w:t>500</w:t>
            </w:r>
          </w:p>
        </w:tc>
        <w:tc>
          <w:tcPr>
            <w:tcW w:w="892" w:type="dxa"/>
            <w:noWrap w:val="0"/>
            <w:vAlign w:val="center"/>
          </w:tcPr>
          <w:p>
            <w:pPr>
              <w:spacing w:line="300" w:lineRule="exact"/>
              <w:jc w:val="right"/>
              <w:rPr>
                <w:rFonts w:ascii="方正书宋_GBK" w:eastAsia="方正书宋_GBK"/>
                <w:b/>
              </w:rPr>
            </w:pPr>
          </w:p>
        </w:tc>
        <w:tc>
          <w:tcPr>
            <w:tcW w:w="1368" w:type="dxa"/>
            <w:noWrap w:val="0"/>
            <w:vAlign w:val="center"/>
          </w:tcPr>
          <w:p>
            <w:pPr>
              <w:spacing w:line="300" w:lineRule="exact"/>
              <w:jc w:val="right"/>
              <w:rPr>
                <w:rFonts w:ascii="方正书宋_GBK" w:eastAsia="方正书宋_GBK"/>
                <w:b/>
              </w:rPr>
            </w:pPr>
            <w:r>
              <w:rPr>
                <w:rFonts w:hint="eastAsia" w:ascii="方正书宋_GBK" w:eastAsia="方正书宋_GBK"/>
                <w:lang w:val="en-US" w:eastAsia="zh-CN"/>
              </w:rPr>
              <w:t>500</w:t>
            </w: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智慧城市建设项目二期</w:t>
            </w:r>
          </w:p>
        </w:tc>
        <w:tc>
          <w:tcPr>
            <w:tcW w:w="1134"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500</w:t>
            </w:r>
          </w:p>
        </w:tc>
        <w:tc>
          <w:tcPr>
            <w:tcW w:w="1531" w:type="dxa"/>
            <w:noWrap w:val="0"/>
            <w:vAlign w:val="center"/>
          </w:tcPr>
          <w:p>
            <w:pPr>
              <w:spacing w:line="300" w:lineRule="exact"/>
              <w:jc w:val="left"/>
              <w:rPr>
                <w:rFonts w:ascii="方正书宋_GBK" w:eastAsia="方正书宋_GBK"/>
              </w:rPr>
            </w:pPr>
            <w:r>
              <w:rPr>
                <w:rFonts w:hint="eastAsia" w:ascii="方正书宋_GBK" w:eastAsia="方正书宋_GBK"/>
              </w:rPr>
              <w:t>其他专用仪器仪表</w:t>
            </w:r>
          </w:p>
        </w:tc>
        <w:tc>
          <w:tcPr>
            <w:tcW w:w="1280" w:type="dxa"/>
            <w:noWrap w:val="0"/>
            <w:vAlign w:val="center"/>
          </w:tcPr>
          <w:p>
            <w:pPr>
              <w:spacing w:line="300" w:lineRule="exact"/>
              <w:jc w:val="left"/>
              <w:rPr>
                <w:rFonts w:ascii="方正书宋_GBK" w:eastAsia="方正书宋_GBK"/>
              </w:rPr>
            </w:pPr>
            <w:r>
              <w:rPr>
                <w:rFonts w:ascii="方正书宋_GBK" w:eastAsia="方正书宋_GBK"/>
              </w:rPr>
              <w:t>A033499</w:t>
            </w:r>
          </w:p>
        </w:tc>
        <w:tc>
          <w:tcPr>
            <w:tcW w:w="780" w:type="dxa"/>
            <w:noWrap w:val="0"/>
            <w:vAlign w:val="center"/>
          </w:tcPr>
          <w:p>
            <w:pPr>
              <w:spacing w:line="300" w:lineRule="exact"/>
              <w:jc w:val="center"/>
              <w:rPr>
                <w:rFonts w:ascii="方正书宋_GBK" w:eastAsia="方正书宋_GBK"/>
              </w:rPr>
            </w:pPr>
            <w:r>
              <w:rPr>
                <w:rFonts w:hint="eastAsia" w:ascii="方正书宋_GBK" w:eastAsia="方正书宋_GBK"/>
              </w:rPr>
              <w:t>套</w:t>
            </w:r>
          </w:p>
        </w:tc>
        <w:tc>
          <w:tcPr>
            <w:tcW w:w="700" w:type="dxa"/>
            <w:noWrap w:val="0"/>
            <w:vAlign w:val="center"/>
          </w:tcPr>
          <w:p>
            <w:pPr>
              <w:spacing w:line="300" w:lineRule="exact"/>
              <w:jc w:val="right"/>
              <w:rPr>
                <w:rFonts w:ascii="方正书宋_GBK" w:eastAsia="方正书宋_GBK"/>
              </w:rPr>
            </w:pPr>
            <w:r>
              <w:rPr>
                <w:rFonts w:ascii="方正书宋_GBK" w:eastAsia="方正书宋_GBK"/>
              </w:rPr>
              <w:t>1</w:t>
            </w:r>
          </w:p>
        </w:tc>
        <w:tc>
          <w:tcPr>
            <w:tcW w:w="1294"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p>
        </w:tc>
        <w:tc>
          <w:tcPr>
            <w:tcW w:w="1376"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p>
        </w:tc>
        <w:tc>
          <w:tcPr>
            <w:tcW w:w="892" w:type="dxa"/>
            <w:noWrap w:val="0"/>
            <w:vAlign w:val="center"/>
          </w:tcPr>
          <w:p>
            <w:pPr>
              <w:spacing w:line="300" w:lineRule="exact"/>
              <w:jc w:val="right"/>
              <w:rPr>
                <w:rFonts w:ascii="方正书宋_GBK" w:eastAsia="方正书宋_GBK"/>
              </w:rPr>
            </w:pPr>
          </w:p>
        </w:tc>
        <w:tc>
          <w:tcPr>
            <w:tcW w:w="1368" w:type="dxa"/>
            <w:noWrap w:val="0"/>
            <w:vAlign w:val="center"/>
          </w:tcPr>
          <w:p>
            <w:pPr>
              <w:spacing w:line="300" w:lineRule="exact"/>
              <w:jc w:val="right"/>
              <w:rPr>
                <w:rFonts w:ascii="方正书宋_GBK" w:eastAsia="方正书宋_GBK"/>
              </w:rPr>
            </w:pPr>
            <w:r>
              <w:rPr>
                <w:rFonts w:hint="eastAsia" w:ascii="方正书宋_GBK" w:eastAsia="方正书宋_GBK"/>
                <w:lang w:val="en-US" w:eastAsia="zh-CN"/>
              </w:rPr>
              <w:t>500</w:t>
            </w:r>
          </w:p>
        </w:tc>
        <w:tc>
          <w:tcPr>
            <w:tcW w:w="900"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0"/>
        <w:rPr>
          <w:rFonts w:cs="Times New Roman"/>
        </w:rPr>
        <w:sectPr>
          <w:headerReference r:id="rId4" w:type="default"/>
          <w:footerReference r:id="rId5" w:type="default"/>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黑体"/>
          <w:color w:val="auto"/>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隆尧县人民政府办公室</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412.32</w:t>
      </w:r>
      <w:r>
        <w:rPr>
          <w:rFonts w:hint="eastAsia" w:ascii="Times New Roman" w:hAnsi="Times New Roman" w:eastAsia="仿宋" w:cs="仿宋"/>
          <w:color w:val="000000"/>
          <w:sz w:val="32"/>
          <w:szCs w:val="32"/>
        </w:rPr>
        <w:t>万元（详见下表），本年度拟购置固定资产总额为</w:t>
      </w:r>
      <w:r>
        <w:rPr>
          <w:rFonts w:hint="eastAsia" w:ascii="Times New Roman" w:hAnsi="Times New Roman" w:eastAsia="仿宋" w:cs="仿宋"/>
          <w:color w:val="000000"/>
          <w:sz w:val="32"/>
          <w:szCs w:val="32"/>
          <w:lang w:val="en-US" w:eastAsia="zh-CN"/>
        </w:rPr>
        <w:t>43.6</w:t>
      </w:r>
      <w:r>
        <w:rPr>
          <w:rFonts w:hint="eastAsia" w:ascii="Times New Roman" w:hAnsi="Times New Roman" w:eastAsia="仿宋" w:cs="仿宋"/>
          <w:color w:val="000000"/>
          <w:sz w:val="32"/>
          <w:szCs w:val="32"/>
        </w:rPr>
        <w:t>万元，主要为计算机、打印机等。</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bookmarkStart w:id="4" w:name="_GoBack"/>
            <w:bookmarkEnd w:id="4"/>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编制部门：隆尧县人民政府办公室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412.32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6162.79</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187.60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3340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101.67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15.60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209.12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5"/>
        <w:rPr>
          <w:rFonts w:ascii="方正楷体_GBK" w:eastAsia="方正楷体_GBK" w:cs="Times New Roman"/>
          <w:sz w:val="24"/>
          <w:szCs w:val="24"/>
        </w:rPr>
      </w:pPr>
      <w:r>
        <w:rPr>
          <w:rStyle w:val="9"/>
          <w:rFonts w:cs="Times New Roman"/>
        </w:rPr>
        <w:sym w:font="Symbol" w:char="F020"/>
      </w:r>
      <w:r>
        <w:rPr>
          <w:rFonts w:hint="eastAsia" w:ascii="方正楷体_GBK" w:eastAsia="方正楷体_GBK" w:cs="方正楷体_GBK"/>
          <w:sz w:val="24"/>
          <w:szCs w:val="24"/>
        </w:rPr>
        <w:t>备注：表中的年度预算数为项目支出，部门工作活动虽未安排项目支出，但由基本支出保障，由于基本支出无法拆分到相应的工作活动，</w:t>
      </w:r>
    </w:p>
    <w:p>
      <w:pPr>
        <w:pStyle w:val="5"/>
        <w:rPr>
          <w:rFonts w:cs="Times New Roman"/>
        </w:rPr>
      </w:pPr>
      <w:r>
        <w:rPr>
          <w:rFonts w:hint="eastAsia" w:ascii="方正楷体_GBK" w:eastAsia="方正楷体_GBK" w:cs="方正楷体_GBK"/>
          <w:sz w:val="24"/>
          <w:szCs w:val="24"/>
        </w:rPr>
        <w:t>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5D464A"/>
    <w:multiLevelType w:val="singleLevel"/>
    <w:tmpl w:val="ED5D464A"/>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isplayBackgroundShape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2"/>
    <w:footnote w:id="3"/>
  </w:foot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VjYThkOWRjZTY3NDJlZTVkMmNhOTM2MGUxYzM4MDgifQ=="/>
  </w:docVars>
  <w:rsids>
    <w:rsidRoot w:val="00C67CC4"/>
    <w:rsid w:val="0000235E"/>
    <w:rsid w:val="000500EB"/>
    <w:rsid w:val="000A3E68"/>
    <w:rsid w:val="00116488"/>
    <w:rsid w:val="00155006"/>
    <w:rsid w:val="001B022C"/>
    <w:rsid w:val="00291BC6"/>
    <w:rsid w:val="002B1C9C"/>
    <w:rsid w:val="00304E90"/>
    <w:rsid w:val="003B1801"/>
    <w:rsid w:val="003F4292"/>
    <w:rsid w:val="003F5E9F"/>
    <w:rsid w:val="00444F6A"/>
    <w:rsid w:val="0046545D"/>
    <w:rsid w:val="004924AB"/>
    <w:rsid w:val="004D4AB6"/>
    <w:rsid w:val="004E1CF4"/>
    <w:rsid w:val="00523C7E"/>
    <w:rsid w:val="00556EF7"/>
    <w:rsid w:val="00565C94"/>
    <w:rsid w:val="00595DA3"/>
    <w:rsid w:val="006526A2"/>
    <w:rsid w:val="007941F0"/>
    <w:rsid w:val="008007F4"/>
    <w:rsid w:val="00877E22"/>
    <w:rsid w:val="00910F54"/>
    <w:rsid w:val="00A5050A"/>
    <w:rsid w:val="00AC0EF1"/>
    <w:rsid w:val="00AE54BB"/>
    <w:rsid w:val="00B23C13"/>
    <w:rsid w:val="00B7265D"/>
    <w:rsid w:val="00B93788"/>
    <w:rsid w:val="00BB64F1"/>
    <w:rsid w:val="00BB6A87"/>
    <w:rsid w:val="00BE26F0"/>
    <w:rsid w:val="00BF3FDC"/>
    <w:rsid w:val="00C21E7A"/>
    <w:rsid w:val="00C258A2"/>
    <w:rsid w:val="00C40AA4"/>
    <w:rsid w:val="00C67CC4"/>
    <w:rsid w:val="00CD21B1"/>
    <w:rsid w:val="00D42D52"/>
    <w:rsid w:val="00D60D94"/>
    <w:rsid w:val="00D9714A"/>
    <w:rsid w:val="00E65431"/>
    <w:rsid w:val="00E71245"/>
    <w:rsid w:val="00EC3709"/>
    <w:rsid w:val="00F541A1"/>
    <w:rsid w:val="00F73D27"/>
    <w:rsid w:val="00F76C69"/>
    <w:rsid w:val="0162402A"/>
    <w:rsid w:val="01A60451"/>
    <w:rsid w:val="02D17B65"/>
    <w:rsid w:val="08A74FD2"/>
    <w:rsid w:val="0B2F32AF"/>
    <w:rsid w:val="0C0A2FFF"/>
    <w:rsid w:val="0C276581"/>
    <w:rsid w:val="0C834AC8"/>
    <w:rsid w:val="0D893DFF"/>
    <w:rsid w:val="0ECA7488"/>
    <w:rsid w:val="12A71A5E"/>
    <w:rsid w:val="14F30EFA"/>
    <w:rsid w:val="199A388A"/>
    <w:rsid w:val="1A3B4221"/>
    <w:rsid w:val="1DEF12E0"/>
    <w:rsid w:val="1E650191"/>
    <w:rsid w:val="1FE9736D"/>
    <w:rsid w:val="20D73364"/>
    <w:rsid w:val="224A3FD5"/>
    <w:rsid w:val="26643477"/>
    <w:rsid w:val="2DF47F90"/>
    <w:rsid w:val="31BE384A"/>
    <w:rsid w:val="31BF08E0"/>
    <w:rsid w:val="324A1984"/>
    <w:rsid w:val="3ACA0D8E"/>
    <w:rsid w:val="3EC733E3"/>
    <w:rsid w:val="40E078F2"/>
    <w:rsid w:val="42C97080"/>
    <w:rsid w:val="46594DB9"/>
    <w:rsid w:val="48C8592C"/>
    <w:rsid w:val="49DB4A9D"/>
    <w:rsid w:val="49E85F96"/>
    <w:rsid w:val="53101FC9"/>
    <w:rsid w:val="5488360D"/>
    <w:rsid w:val="5D3125C7"/>
    <w:rsid w:val="5E7A1FF3"/>
    <w:rsid w:val="5F0D3160"/>
    <w:rsid w:val="65611C65"/>
    <w:rsid w:val="6AD571F1"/>
    <w:rsid w:val="6B786CD0"/>
    <w:rsid w:val="6F5306EF"/>
    <w:rsid w:val="6F8229F2"/>
    <w:rsid w:val="6FC458AF"/>
    <w:rsid w:val="71435751"/>
    <w:rsid w:val="74E044A8"/>
    <w:rsid w:val="76BA5960"/>
    <w:rsid w:val="7AE97935"/>
    <w:rsid w:val="7B1152DA"/>
    <w:rsid w:val="7F1001D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Footer Char"/>
    <w:basedOn w:val="8"/>
    <w:link w:val="2"/>
    <w:semiHidden/>
    <w:qFormat/>
    <w:locked/>
    <w:uiPriority w:val="99"/>
    <w:rPr>
      <w:rFonts w:ascii="Times New Roman" w:hAnsi="Times New Roman" w:eastAsia="宋体" w:cs="Times New Roman"/>
      <w:sz w:val="18"/>
      <w:szCs w:val="18"/>
    </w:rPr>
  </w:style>
  <w:style w:type="character" w:customStyle="1" w:styleId="11">
    <w:name w:val="Header Char"/>
    <w:basedOn w:val="8"/>
    <w:link w:val="3"/>
    <w:semiHidden/>
    <w:qFormat/>
    <w:locked/>
    <w:uiPriority w:val="99"/>
    <w:rPr>
      <w:rFonts w:ascii="Times New Roman" w:hAnsi="Times New Roman" w:eastAsia="宋体" w:cs="Times New Roman"/>
      <w:sz w:val="18"/>
      <w:szCs w:val="18"/>
    </w:rPr>
  </w:style>
  <w:style w:type="character" w:customStyle="1" w:styleId="12">
    <w:name w:val="Footnote Text Char"/>
    <w:basedOn w:val="8"/>
    <w:link w:val="5"/>
    <w:semiHidden/>
    <w:qFormat/>
    <w:locked/>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Footnote Text Char1"/>
    <w:basedOn w:val="8"/>
    <w:link w:val="5"/>
    <w:semiHidden/>
    <w:qFormat/>
    <w:locked/>
    <w:uiPriority w:val="99"/>
    <w:rPr>
      <w:rFonts w:ascii="Calibri" w:hAnsi="Calibri" w:eastAsia="宋体" w:cs="Calibri"/>
      <w:kern w:val="2"/>
      <w:sz w:val="18"/>
      <w:szCs w:val="18"/>
      <w:lang w:val="en-US" w:eastAsia="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notes.xml" Type="http://schemas.openxmlformats.org/officeDocument/2006/relationships/footnotes"/><Relationship Id="rId4" Target="header1.xml" Type="http://schemas.openxmlformats.org/officeDocument/2006/relationships/header"/><Relationship Id="rId5" Target="footer1.xml" Type="http://schemas.openxmlformats.org/officeDocument/2006/relationships/footer"/><Relationship Id="rId6" Target="theme/theme1.xml" Type="http://schemas.openxmlformats.org/officeDocument/2006/relationships/theme"/><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14</Pages>
  <Words>5795</Words>
  <Characters>6140</Characters>
  <Lines>0</Lines>
  <Paragraphs>0</Paragraphs>
  <TotalTime>8</TotalTime>
  <ScaleCrop>false</ScaleCrop>
  <LinksUpToDate>false</LinksUpToDate>
  <CharactersWithSpaces>6157</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2017-02-10T09:57:00Z</cp:lastPrinted>
  <dcterms:modified xsi:type="dcterms:W3CDTF">2022-09-05T01:32:42Z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CCEF9F7427334F709BF1AFBE9E4FC1B2</vt:lpwstr>
  </property>
</Properties>
</file>