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b w:val="0"/>
          <w:bCs w:val="0"/>
          <w:sz w:val="44"/>
          <w:szCs w:val="44"/>
          <w:lang w:eastAsia="zh-CN"/>
        </w:rPr>
      </w:pPr>
    </w:p>
    <w:p>
      <w:pPr>
        <w:jc w:val="center"/>
        <w:rPr>
          <w:rFonts w:hint="eastAsia" w:ascii="方正小标宋简体" w:hAnsi="方正小标宋简体" w:eastAsia="方正小标宋简体" w:cs="方正小标宋简体"/>
          <w:b w:val="0"/>
          <w:bCs w:val="0"/>
          <w:sz w:val="44"/>
          <w:szCs w:val="44"/>
          <w:lang w:eastAsia="zh-CN"/>
        </w:rPr>
      </w:pPr>
    </w:p>
    <w:p>
      <w:pPr>
        <w:jc w:val="center"/>
        <w:rPr>
          <w:rFonts w:hint="eastAsia" w:ascii="方正小标宋简体" w:hAnsi="方正小标宋简体" w:eastAsia="方正小标宋简体" w:cs="方正小标宋简体"/>
          <w:b w:val="0"/>
          <w:bCs w:val="0"/>
          <w:sz w:val="44"/>
          <w:szCs w:val="44"/>
          <w:lang w:eastAsia="zh-CN"/>
        </w:rPr>
      </w:pPr>
    </w:p>
    <w:p>
      <w:pPr>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关于保基本民生的十条政策措施</w:t>
      </w:r>
    </w:p>
    <w:p>
      <w:pPr>
        <w:numPr>
          <w:ilvl w:val="0"/>
          <w:numId w:val="1"/>
        </w:numPr>
        <w:ind w:firstLine="643" w:firstLineChars="200"/>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bCs/>
          <w:sz w:val="32"/>
          <w:szCs w:val="32"/>
          <w:u w:val="none"/>
        </w:rPr>
        <w:t>完善住房公积金政策</w:t>
      </w:r>
      <w:r>
        <w:rPr>
          <w:rFonts w:hint="eastAsia" w:ascii="仿宋_GB2312" w:hAnsi="仿宋_GB2312" w:eastAsia="仿宋_GB2312" w:cs="仿宋_GB2312"/>
          <w:b/>
          <w:bCs/>
          <w:sz w:val="32"/>
          <w:szCs w:val="32"/>
          <w:u w:val="none"/>
          <w:lang w:eastAsia="zh-CN"/>
        </w:rPr>
        <w:t>。</w:t>
      </w:r>
      <w:r>
        <w:rPr>
          <w:rFonts w:hint="eastAsia" w:ascii="仿宋_GB2312" w:hAnsi="仿宋_GB2312" w:eastAsia="仿宋_GB2312" w:cs="仿宋_GB2312"/>
          <w:b w:val="0"/>
          <w:bCs w:val="0"/>
          <w:sz w:val="32"/>
          <w:szCs w:val="32"/>
          <w:u w:val="none"/>
        </w:rPr>
        <w:t>受疫情影响的企业</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可按规定申请缓缴住房公积金</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到期后进行补缴</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在此期间缴存职工正常提取和申请住房公积金贷款</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受疫情影响的缴存人</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不能正常偿还住房公积金贷款的</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不作逾期处理</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不作为逾期记录报送征信部门</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根据当地房租水平和合理租住面积</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提高住房公积金租房提取额度</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支持缴存人按需提取</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更好地满足缴存人支付房租的实际需要</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上述住房公积金政策执行期限暂定至2022年底。新购首套和改善型住房的缴存人</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可提取本人及其配偶住房公积金账户存储余额</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夫妻双方累计提取总额不超过实际购房支出。(</w:t>
      </w:r>
      <w:r>
        <w:rPr>
          <w:rFonts w:hint="eastAsia" w:ascii="仿宋_GB2312" w:hAnsi="仿宋_GB2312" w:eastAsia="仿宋_GB2312" w:cs="仿宋_GB2312"/>
          <w:b w:val="0"/>
          <w:bCs w:val="0"/>
          <w:sz w:val="32"/>
          <w:szCs w:val="32"/>
          <w:u w:val="none"/>
          <w:lang w:val="en-US" w:eastAsia="zh-CN"/>
        </w:rPr>
        <w:t>县住房公积金管理中心</w:t>
      </w:r>
      <w:r>
        <w:rPr>
          <w:rFonts w:hint="eastAsia" w:ascii="仿宋_GB2312" w:hAnsi="仿宋_GB2312" w:eastAsia="仿宋_GB2312" w:cs="仿宋_GB2312"/>
          <w:b w:val="0"/>
          <w:bCs w:val="0"/>
          <w:sz w:val="32"/>
          <w:szCs w:val="32"/>
          <w:u w:val="none"/>
        </w:rPr>
        <w:t>、</w:t>
      </w:r>
      <w:r>
        <w:rPr>
          <w:rFonts w:hint="eastAsia" w:ascii="仿宋_GB2312" w:hAnsi="仿宋_GB2312" w:eastAsia="仿宋_GB2312" w:cs="仿宋_GB2312"/>
          <w:b w:val="0"/>
          <w:bCs w:val="0"/>
          <w:sz w:val="32"/>
          <w:szCs w:val="32"/>
          <w:u w:val="none"/>
          <w:lang w:eastAsia="zh-CN"/>
        </w:rPr>
        <w:t>县</w:t>
      </w:r>
      <w:r>
        <w:rPr>
          <w:rFonts w:hint="eastAsia" w:ascii="仿宋_GB2312" w:hAnsi="仿宋_GB2312" w:eastAsia="仿宋_GB2312" w:cs="仿宋_GB2312"/>
          <w:b w:val="0"/>
          <w:bCs w:val="0"/>
          <w:sz w:val="32"/>
          <w:szCs w:val="32"/>
          <w:u w:val="none"/>
        </w:rPr>
        <w:t>财政</w:t>
      </w:r>
      <w:r>
        <w:rPr>
          <w:rFonts w:hint="eastAsia" w:ascii="仿宋_GB2312" w:hAnsi="仿宋_GB2312" w:eastAsia="仿宋_GB2312" w:cs="仿宋_GB2312"/>
          <w:b w:val="0"/>
          <w:bCs w:val="0"/>
          <w:sz w:val="32"/>
          <w:szCs w:val="32"/>
          <w:u w:val="none"/>
          <w:lang w:eastAsia="zh-CN"/>
        </w:rPr>
        <w:t>局</w:t>
      </w:r>
      <w:r>
        <w:rPr>
          <w:rFonts w:hint="eastAsia" w:ascii="仿宋_GB2312" w:hAnsi="仿宋_GB2312" w:eastAsia="仿宋_GB2312" w:cs="仿宋_GB2312"/>
          <w:b w:val="0"/>
          <w:bCs w:val="0"/>
          <w:sz w:val="32"/>
          <w:szCs w:val="32"/>
          <w:u w:val="none"/>
        </w:rPr>
        <w:t>、</w:t>
      </w:r>
      <w:r>
        <w:rPr>
          <w:rFonts w:hint="eastAsia" w:ascii="仿宋_GB2312" w:hAnsi="仿宋_GB2312" w:eastAsia="仿宋_GB2312" w:cs="仿宋_GB2312"/>
          <w:b w:val="0"/>
          <w:bCs w:val="0"/>
          <w:sz w:val="32"/>
          <w:szCs w:val="32"/>
          <w:u w:val="none"/>
          <w:lang w:eastAsia="zh-CN"/>
        </w:rPr>
        <w:t>县建设银</w:t>
      </w:r>
      <w:r>
        <w:rPr>
          <w:rFonts w:hint="eastAsia" w:ascii="仿宋_GB2312" w:hAnsi="仿宋_GB2312" w:eastAsia="仿宋_GB2312" w:cs="仿宋_GB2312"/>
          <w:b w:val="0"/>
          <w:bCs w:val="0"/>
          <w:sz w:val="32"/>
          <w:szCs w:val="32"/>
          <w:u w:val="none"/>
        </w:rPr>
        <w:t>行负责)</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bCs/>
          <w:sz w:val="32"/>
          <w:szCs w:val="32"/>
          <w:u w:val="none"/>
        </w:rPr>
        <w:t>落实完善财政转移支付与农业转移人口市民化挂钩政策</w:t>
      </w:r>
      <w:r>
        <w:rPr>
          <w:rFonts w:hint="eastAsia" w:ascii="仿宋_GB2312" w:hAnsi="仿宋_GB2312" w:eastAsia="仿宋_GB2312" w:cs="仿宋_GB2312"/>
          <w:b/>
          <w:bCs/>
          <w:sz w:val="32"/>
          <w:szCs w:val="32"/>
          <w:u w:val="none"/>
          <w:lang w:eastAsia="zh-CN"/>
        </w:rPr>
        <w:t>。</w:t>
      </w:r>
      <w:r>
        <w:rPr>
          <w:rFonts w:hint="eastAsia" w:ascii="仿宋_GB2312" w:hAnsi="仿宋_GB2312" w:eastAsia="仿宋_GB2312" w:cs="仿宋_GB2312"/>
          <w:b w:val="0"/>
          <w:bCs w:val="0"/>
          <w:sz w:val="32"/>
          <w:szCs w:val="32"/>
          <w:u w:val="none"/>
        </w:rPr>
        <w:t>统筹安排</w:t>
      </w:r>
      <w:r>
        <w:rPr>
          <w:rFonts w:hint="eastAsia" w:ascii="仿宋_GB2312" w:hAnsi="仿宋_GB2312" w:eastAsia="仿宋_GB2312" w:cs="仿宋_GB2312"/>
          <w:b w:val="0"/>
          <w:bCs w:val="0"/>
          <w:sz w:val="32"/>
          <w:szCs w:val="32"/>
          <w:u w:val="none"/>
          <w:lang w:eastAsia="zh-CN"/>
        </w:rPr>
        <w:t>县</w:t>
      </w:r>
      <w:r>
        <w:rPr>
          <w:rFonts w:hint="eastAsia" w:ascii="仿宋_GB2312" w:hAnsi="仿宋_GB2312" w:eastAsia="仿宋_GB2312" w:cs="仿宋_GB2312"/>
          <w:b w:val="0"/>
          <w:bCs w:val="0"/>
          <w:sz w:val="32"/>
          <w:szCs w:val="32"/>
          <w:u w:val="none"/>
        </w:rPr>
        <w:t>以上农业转移人口市民化奖励资金</w:t>
      </w:r>
      <w:r>
        <w:rPr>
          <w:rFonts w:hint="eastAsia" w:ascii="仿宋_GB2312" w:hAnsi="仿宋_GB2312" w:eastAsia="仿宋_GB2312" w:cs="仿宋_GB2312"/>
          <w:b w:val="0"/>
          <w:bCs w:val="0"/>
          <w:sz w:val="32"/>
          <w:szCs w:val="32"/>
          <w:u w:val="none"/>
          <w:lang w:eastAsia="zh-CN"/>
        </w:rPr>
        <w:t>，</w:t>
      </w:r>
      <w:r>
        <w:rPr>
          <w:rFonts w:hint="eastAsia" w:ascii="仿宋_GB2312" w:hAnsi="仿宋_GB2312" w:eastAsia="仿宋_GB2312" w:cs="仿宋_GB2312"/>
          <w:b w:val="0"/>
          <w:bCs w:val="0"/>
          <w:sz w:val="32"/>
          <w:szCs w:val="32"/>
          <w:u w:val="none"/>
        </w:rPr>
        <w:t>向农业转移人口落户规模大、新增落户多、基本公共服务成本高的财政困难</w:t>
      </w:r>
      <w:r>
        <w:rPr>
          <w:rFonts w:hint="eastAsia" w:ascii="仿宋_GB2312" w:hAnsi="仿宋_GB2312" w:eastAsia="仿宋_GB2312" w:cs="仿宋_GB2312"/>
          <w:b w:val="0"/>
          <w:bCs w:val="0"/>
          <w:sz w:val="32"/>
          <w:szCs w:val="32"/>
          <w:u w:val="none"/>
          <w:lang w:eastAsia="zh-CN"/>
        </w:rPr>
        <w:t>县辖区</w:t>
      </w:r>
      <w:r>
        <w:rPr>
          <w:rFonts w:hint="eastAsia" w:ascii="仿宋_GB2312" w:hAnsi="仿宋_GB2312" w:eastAsia="仿宋_GB2312" w:cs="仿宋_GB2312"/>
          <w:b w:val="0"/>
          <w:bCs w:val="0"/>
          <w:sz w:val="32"/>
          <w:szCs w:val="32"/>
          <w:u w:val="none"/>
        </w:rPr>
        <w:t>倾斜。(</w:t>
      </w:r>
      <w:r>
        <w:rPr>
          <w:rFonts w:hint="eastAsia" w:ascii="仿宋_GB2312" w:hAnsi="仿宋_GB2312" w:eastAsia="仿宋_GB2312" w:cs="仿宋_GB2312"/>
          <w:b w:val="0"/>
          <w:bCs w:val="0"/>
          <w:sz w:val="32"/>
          <w:szCs w:val="32"/>
          <w:u w:val="none"/>
          <w:lang w:eastAsia="zh-CN"/>
        </w:rPr>
        <w:t>县</w:t>
      </w:r>
      <w:r>
        <w:rPr>
          <w:rFonts w:hint="eastAsia" w:ascii="仿宋_GB2312" w:hAnsi="仿宋_GB2312" w:eastAsia="仿宋_GB2312" w:cs="仿宋_GB2312"/>
          <w:b w:val="0"/>
          <w:bCs w:val="0"/>
          <w:sz w:val="32"/>
          <w:szCs w:val="32"/>
          <w:u w:val="none"/>
        </w:rPr>
        <w:t>财政</w:t>
      </w:r>
      <w:r>
        <w:rPr>
          <w:rFonts w:hint="eastAsia" w:ascii="仿宋_GB2312" w:hAnsi="仿宋_GB2312" w:eastAsia="仿宋_GB2312" w:cs="仿宋_GB2312"/>
          <w:b w:val="0"/>
          <w:bCs w:val="0"/>
          <w:sz w:val="32"/>
          <w:szCs w:val="32"/>
          <w:u w:val="none"/>
          <w:lang w:eastAsia="zh-CN"/>
        </w:rPr>
        <w:t>局</w:t>
      </w:r>
      <w:r>
        <w:rPr>
          <w:rFonts w:hint="eastAsia" w:ascii="仿宋_GB2312" w:hAnsi="仿宋_GB2312" w:eastAsia="仿宋_GB2312" w:cs="仿宋_GB2312"/>
          <w:b w:val="0"/>
          <w:bCs w:val="0"/>
          <w:sz w:val="32"/>
          <w:szCs w:val="32"/>
          <w:u w:val="none"/>
        </w:rPr>
        <w:t>负责)</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bCs/>
          <w:sz w:val="32"/>
          <w:szCs w:val="32"/>
          <w:u w:val="none"/>
        </w:rPr>
        <w:t>加大创业担保贷款贴息力度</w:t>
      </w:r>
      <w:r>
        <w:rPr>
          <w:rFonts w:hint="eastAsia" w:ascii="仿宋_GB2312" w:hAnsi="仿宋_GB2312" w:eastAsia="仿宋_GB2312" w:cs="仿宋_GB2312"/>
          <w:b/>
          <w:bCs/>
          <w:sz w:val="32"/>
          <w:szCs w:val="32"/>
          <w:u w:val="none"/>
          <w:lang w:eastAsia="zh-CN"/>
        </w:rPr>
        <w:t>。</w:t>
      </w:r>
      <w:r>
        <w:rPr>
          <w:rFonts w:hint="eastAsia" w:ascii="仿宋_GB2312" w:hAnsi="仿宋_GB2312" w:eastAsia="仿宋_GB2312" w:cs="仿宋_GB2312"/>
          <w:b w:val="0"/>
          <w:bCs w:val="0"/>
          <w:sz w:val="32"/>
          <w:szCs w:val="32"/>
          <w:u w:val="none"/>
        </w:rPr>
        <w:t>重点加大对受疫情影响较大的交通运输、餐饮、住宿旅游等行业的小微企业和个体工商户的支持。将符合条件的新市民纳入创业担保贷款扶持范围。(</w:t>
      </w:r>
      <w:r>
        <w:rPr>
          <w:rFonts w:hint="eastAsia" w:ascii="仿宋_GB2312" w:hAnsi="仿宋_GB2312" w:eastAsia="仿宋_GB2312" w:cs="仿宋_GB2312"/>
          <w:b w:val="0"/>
          <w:bCs w:val="0"/>
          <w:sz w:val="32"/>
          <w:szCs w:val="32"/>
          <w:u w:val="none"/>
          <w:lang w:eastAsia="zh-CN"/>
        </w:rPr>
        <w:t>县</w:t>
      </w:r>
      <w:r>
        <w:rPr>
          <w:rFonts w:hint="eastAsia" w:ascii="仿宋_GB2312" w:hAnsi="仿宋_GB2312" w:eastAsia="仿宋_GB2312" w:cs="仿宋_GB2312"/>
          <w:b w:val="0"/>
          <w:bCs w:val="0"/>
          <w:sz w:val="32"/>
          <w:szCs w:val="32"/>
          <w:u w:val="none"/>
        </w:rPr>
        <w:t>人力资源社会保障</w:t>
      </w:r>
      <w:r>
        <w:rPr>
          <w:rFonts w:hint="eastAsia" w:ascii="仿宋_GB2312" w:hAnsi="仿宋_GB2312" w:eastAsia="仿宋_GB2312" w:cs="仿宋_GB2312"/>
          <w:b w:val="0"/>
          <w:bCs w:val="0"/>
          <w:sz w:val="32"/>
          <w:szCs w:val="32"/>
          <w:u w:val="none"/>
          <w:lang w:eastAsia="zh-CN"/>
        </w:rPr>
        <w:t>局</w:t>
      </w:r>
      <w:r>
        <w:rPr>
          <w:rFonts w:hint="eastAsia" w:ascii="仿宋_GB2312" w:hAnsi="仿宋_GB2312" w:eastAsia="仿宋_GB2312" w:cs="仿宋_GB2312"/>
          <w:b w:val="0"/>
          <w:bCs w:val="0"/>
          <w:sz w:val="32"/>
          <w:szCs w:val="32"/>
          <w:u w:val="none"/>
        </w:rPr>
        <w:t>、</w:t>
      </w:r>
      <w:r>
        <w:rPr>
          <w:rFonts w:hint="eastAsia" w:ascii="仿宋_GB2312" w:hAnsi="仿宋_GB2312" w:eastAsia="仿宋_GB2312" w:cs="仿宋_GB2312"/>
          <w:b w:val="0"/>
          <w:bCs w:val="0"/>
          <w:sz w:val="32"/>
          <w:szCs w:val="32"/>
          <w:u w:val="none"/>
          <w:lang w:eastAsia="zh-CN"/>
        </w:rPr>
        <w:t>县</w:t>
      </w:r>
      <w:r>
        <w:rPr>
          <w:rFonts w:hint="eastAsia" w:ascii="仿宋_GB2312" w:hAnsi="仿宋_GB2312" w:eastAsia="仿宋_GB2312" w:cs="仿宋_GB2312"/>
          <w:b w:val="0"/>
          <w:bCs w:val="0"/>
          <w:sz w:val="32"/>
          <w:szCs w:val="32"/>
          <w:u w:val="none"/>
        </w:rPr>
        <w:t>财政</w:t>
      </w:r>
      <w:r>
        <w:rPr>
          <w:rFonts w:hint="eastAsia" w:ascii="仿宋_GB2312" w:hAnsi="仿宋_GB2312" w:eastAsia="仿宋_GB2312" w:cs="仿宋_GB2312"/>
          <w:b w:val="0"/>
          <w:bCs w:val="0"/>
          <w:sz w:val="32"/>
          <w:szCs w:val="32"/>
          <w:u w:val="none"/>
          <w:lang w:eastAsia="zh-CN"/>
        </w:rPr>
        <w:t>局</w:t>
      </w:r>
      <w:r>
        <w:rPr>
          <w:rFonts w:hint="eastAsia" w:ascii="仿宋_GB2312" w:hAnsi="仿宋_GB2312" w:eastAsia="仿宋_GB2312" w:cs="仿宋_GB2312"/>
          <w:b w:val="0"/>
          <w:bCs w:val="0"/>
          <w:sz w:val="32"/>
          <w:szCs w:val="32"/>
          <w:u w:val="none"/>
        </w:rPr>
        <w:t>负责)</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bCs/>
          <w:sz w:val="32"/>
          <w:szCs w:val="32"/>
          <w:u w:val="none"/>
          <w:lang w:eastAsia="zh-CN"/>
        </w:rPr>
        <w:t>保障困难群众基本生活。</w:t>
      </w:r>
      <w:r>
        <w:rPr>
          <w:rFonts w:hint="eastAsia" w:ascii="仿宋_GB2312" w:hAnsi="仿宋_GB2312" w:eastAsia="仿宋_GB2312" w:cs="仿宋_GB2312"/>
          <w:b w:val="0"/>
          <w:bCs w:val="0"/>
          <w:sz w:val="32"/>
          <w:szCs w:val="32"/>
          <w:u w:val="none"/>
          <w:lang w:eastAsia="zh-CN"/>
        </w:rPr>
        <w:t>对低保边缘家庭中的重度残疾人、重病患者，经个人申请，按照“单人户”纳入低保范围。对家庭人均收入超过当地低保标准但仍属于低收入人口或脱贫人口的，可给予不超过</w:t>
      </w:r>
      <w:r>
        <w:rPr>
          <w:rFonts w:hint="eastAsia" w:ascii="仿宋_GB2312" w:hAnsi="仿宋_GB2312" w:eastAsia="仿宋_GB2312" w:cs="仿宋_GB2312"/>
          <w:b w:val="0"/>
          <w:bCs w:val="0"/>
          <w:sz w:val="32"/>
          <w:szCs w:val="32"/>
          <w:u w:val="none"/>
          <w:lang w:val="en-US" w:eastAsia="zh-CN"/>
        </w:rPr>
        <w:t>3个月的渐退期。在核算社会救助申请人家庭收入时，对于国家规定的优待抚恤金、计划生育奖励与扶助金、奖学金、见义勇为等建立行补助，政府发放的各类社会救助款物，以及中央确定的城乡居民基本养老保险不计入家庭收入；对于共同生活的家庭成员因残疾、患重病等增加的刚性支出、必要的就业成本等，可按规定适当扣减。强化城乡低保标准省级统筹力度，待制定2022年底城乡低保标准占人均消费支出的省定指导比例后按政策落实。（责任单位：县民政局）</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val="0"/>
          <w:bCs w:val="0"/>
          <w:sz w:val="32"/>
          <w:szCs w:val="32"/>
          <w:u w:val="none"/>
        </w:rPr>
      </w:pPr>
      <w:r>
        <w:rPr>
          <w:rFonts w:hint="eastAsia" w:ascii="仿宋_GB2312" w:hAnsi="仿宋_GB2312" w:eastAsia="仿宋_GB2312" w:cs="仿宋_GB2312"/>
          <w:b/>
          <w:bCs/>
          <w:sz w:val="32"/>
          <w:szCs w:val="32"/>
          <w:u w:val="none"/>
          <w:lang w:eastAsia="zh-CN"/>
        </w:rPr>
        <w:t>做好因疫情受困群众社会救助。</w:t>
      </w:r>
      <w:r>
        <w:rPr>
          <w:rFonts w:hint="eastAsia" w:ascii="仿宋_GB2312" w:hAnsi="仿宋_GB2312" w:eastAsia="仿宋_GB2312" w:cs="仿宋_GB2312"/>
          <w:b w:val="0"/>
          <w:bCs w:val="0"/>
          <w:sz w:val="32"/>
          <w:szCs w:val="32"/>
          <w:u w:val="none"/>
          <w:lang w:eastAsia="zh-CN"/>
        </w:rPr>
        <w:t>当地根据疫情影响程度，可暂缓低保对象的动态退出，按照上级文件要求及政府出台政策，并采取增发救助金、发放临时生活补助、购买防护用品或基本生活必需品等方式保障低保对象、特困人员等困难群众基本生活。对受疫情影响无法外出务工、无法开展基本生产等造成家庭收入下降且符合条件的，及时纳入低保保障范围。充分发挥临时救助作用，对受疫情影响导致基本生活陷入困境，其他社会救助制度无法覆盖的困难群众，及时通过临时救助给予应急性、过渡性生活保障。落实主动发现机制，组织开展大排查、大走访，做到早发现、早介入、早救助。畅通社会救助热线，及时受理和回应困难群众诉求，坚决防止冲击社会道德底线的事件发生。（责任单位：县民政局）</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val="0"/>
          <w:bCs w:val="0"/>
          <w:sz w:val="32"/>
          <w:szCs w:val="32"/>
          <w:u w:val="none"/>
          <w:lang w:eastAsia="zh-CN"/>
        </w:rPr>
      </w:pPr>
      <w:r>
        <w:rPr>
          <w:rFonts w:hint="eastAsia" w:ascii="仿宋_GB2312" w:hAnsi="仿宋_GB2312" w:eastAsia="仿宋_GB2312" w:cs="仿宋_GB2312"/>
          <w:b/>
          <w:bCs/>
          <w:sz w:val="32"/>
          <w:szCs w:val="32"/>
          <w:u w:val="none"/>
          <w:lang w:eastAsia="zh-CN"/>
        </w:rPr>
        <w:t>及时下达救助补助资金。</w:t>
      </w:r>
      <w:r>
        <w:rPr>
          <w:rFonts w:hint="eastAsia" w:ascii="仿宋_GB2312" w:hAnsi="仿宋_GB2312" w:eastAsia="仿宋_GB2312" w:cs="仿宋_GB2312"/>
          <w:b w:val="0"/>
          <w:bCs w:val="0"/>
          <w:sz w:val="32"/>
          <w:szCs w:val="32"/>
          <w:u w:val="none"/>
          <w:lang w:eastAsia="zh-CN"/>
        </w:rPr>
        <w:t>用好中央和省级财政资金，通过财政资金直达机制，确保救助资金及时足额发放到需要帮扶救助的群众手中，切实做好应保尽保、应救尽救。（责任单位：县民政局</w:t>
      </w:r>
      <w:bookmarkStart w:id="0" w:name="_GoBack"/>
      <w:bookmarkEnd w:id="0"/>
      <w:r>
        <w:rPr>
          <w:rFonts w:hint="eastAsia" w:ascii="仿宋_GB2312" w:hAnsi="仿宋_GB2312" w:eastAsia="仿宋_GB2312" w:cs="仿宋_GB2312"/>
          <w:b w:val="0"/>
          <w:bCs w:val="0"/>
          <w:sz w:val="32"/>
          <w:szCs w:val="32"/>
          <w:u w:val="none"/>
          <w:lang w:eastAsia="zh-CN"/>
        </w:rPr>
        <w:t>、县财政局）</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3" w:firstLineChars="200"/>
        <w:textAlignment w:val="auto"/>
        <w:rPr>
          <w:rFonts w:hint="eastAsia" w:ascii="仿宋_GB2312" w:hAnsi="仿宋_GB2312" w:eastAsia="仿宋_GB2312" w:cs="仿宋_GB2312"/>
          <w:b w:val="0"/>
          <w:bCs w:val="0"/>
          <w:sz w:val="32"/>
          <w:szCs w:val="32"/>
          <w:u w:val="none"/>
          <w:lang w:eastAsia="zh-CN"/>
        </w:rPr>
      </w:pPr>
      <w:r>
        <w:rPr>
          <w:rFonts w:hint="eastAsia" w:ascii="仿宋_GB2312" w:hAnsi="仿宋_GB2312" w:eastAsia="仿宋_GB2312" w:cs="仿宋_GB2312"/>
          <w:b/>
          <w:bCs/>
          <w:sz w:val="32"/>
          <w:szCs w:val="32"/>
          <w:u w:val="none"/>
          <w:lang w:eastAsia="zh-CN"/>
        </w:rPr>
        <w:t>落实好社会救助和保障标准与物价上涨挂钩联动机制。</w:t>
      </w:r>
      <w:r>
        <w:rPr>
          <w:rFonts w:hint="eastAsia" w:ascii="仿宋_GB2312" w:hAnsi="仿宋_GB2312" w:eastAsia="仿宋_GB2312" w:cs="仿宋_GB2312"/>
          <w:b w:val="0"/>
          <w:bCs w:val="0"/>
          <w:sz w:val="32"/>
          <w:szCs w:val="32"/>
          <w:u w:val="none"/>
          <w:lang w:eastAsia="zh-CN"/>
        </w:rPr>
        <w:t>按邢发改物价上涨文件要求及时足额发放补贴，保障低收入群体基本生活。(县发改局、县民政局、县财政局、县人力资源社会保障局负责)</w:t>
      </w:r>
    </w:p>
    <w:p>
      <w:pPr>
        <w:ind w:firstLine="643"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u w:val="none"/>
          <w:lang w:eastAsia="zh-CN"/>
        </w:rPr>
        <w:t>八、加强市场监测监管。</w:t>
      </w:r>
      <w:r>
        <w:rPr>
          <w:rFonts w:hint="eastAsia" w:ascii="仿宋_GB2312" w:hAnsi="仿宋_GB2312" w:eastAsia="仿宋_GB2312" w:cs="仿宋_GB2312"/>
          <w:b w:val="0"/>
          <w:bCs w:val="0"/>
          <w:sz w:val="32"/>
          <w:szCs w:val="32"/>
          <w:u w:val="none"/>
          <w:lang w:eastAsia="zh-CN"/>
        </w:rPr>
        <w:t>加强米面油肉蛋菜等重要民生商品市场监测，在节假日、汛期等重要时段和发生疫情等异常情况时启动应急监测。加强市场巡查，严厉打击囤积居奇、串通涨价、哄抬价格等违法行为，维护正常的市场秩序，确保市场价格稳定。（责任单位：</w:t>
      </w:r>
      <w:r>
        <w:rPr>
          <w:rFonts w:hint="eastAsia" w:ascii="仿宋_GB2312" w:hAnsi="仿宋_GB2312" w:eastAsia="仿宋_GB2312" w:cs="仿宋_GB2312"/>
          <w:b w:val="0"/>
          <w:bCs w:val="0"/>
          <w:sz w:val="32"/>
          <w:szCs w:val="32"/>
          <w:u w:val="none"/>
          <w:lang w:val="en-US" w:eastAsia="zh-CN"/>
        </w:rPr>
        <w:t xml:space="preserve"> </w:t>
      </w:r>
      <w:r>
        <w:rPr>
          <w:rFonts w:hint="eastAsia" w:ascii="仿宋_GB2312" w:hAnsi="仿宋_GB2312" w:eastAsia="仿宋_GB2312" w:cs="仿宋_GB2312"/>
          <w:b w:val="0"/>
          <w:bCs w:val="0"/>
          <w:sz w:val="32"/>
          <w:szCs w:val="32"/>
          <w:u w:val="none"/>
          <w:lang w:eastAsia="zh-CN"/>
        </w:rPr>
        <w:t>县商务局、县市场监管局）</w:t>
      </w:r>
    </w:p>
    <w:p>
      <w:pPr>
        <w:ind w:firstLine="643" w:firstLineChars="200"/>
        <w:rPr>
          <w:rFonts w:hint="eastAsia" w:ascii="仿宋_GB2312" w:hAnsi="仿宋_GB2312" w:eastAsia="仿宋_GB2312" w:cs="仿宋_GB2312"/>
          <w:b w:val="0"/>
          <w:bCs w:val="0"/>
          <w:sz w:val="32"/>
          <w:szCs w:val="32"/>
          <w:u w:val="none"/>
          <w:lang w:val="en-US" w:eastAsia="zh-CN"/>
        </w:rPr>
      </w:pPr>
      <w:r>
        <w:rPr>
          <w:rFonts w:hint="eastAsia" w:ascii="仿宋_GB2312" w:hAnsi="仿宋_GB2312" w:eastAsia="仿宋_GB2312" w:cs="仿宋_GB2312"/>
          <w:b/>
          <w:bCs/>
          <w:sz w:val="32"/>
          <w:szCs w:val="32"/>
          <w:u w:val="none"/>
          <w:lang w:eastAsia="zh-CN"/>
        </w:rPr>
        <w:t>九、抓好生产流通。</w:t>
      </w:r>
      <w:r>
        <w:rPr>
          <w:rFonts w:hint="eastAsia" w:ascii="仿宋_GB2312" w:hAnsi="仿宋_GB2312" w:eastAsia="仿宋_GB2312" w:cs="仿宋_GB2312"/>
          <w:b w:val="0"/>
          <w:bCs w:val="0"/>
          <w:sz w:val="32"/>
          <w:szCs w:val="32"/>
          <w:u w:val="none"/>
          <w:lang w:eastAsia="zh-CN"/>
        </w:rPr>
        <w:t>全力以赴抓好小麦机收和“三夏”生产，抓实抓细各项措施，确保夏粮颗粒归仓，稳定生猪和蔬菜生产，加大货源衔接力度，保持物流畅通，确保重要生活物资不断档、不脱销。</w:t>
      </w:r>
      <w:r>
        <w:rPr>
          <w:rFonts w:hint="eastAsia" w:ascii="仿宋_GB2312" w:hAnsi="仿宋_GB2312" w:eastAsia="仿宋_GB2312" w:cs="仿宋_GB2312"/>
          <w:b w:val="0"/>
          <w:bCs w:val="0"/>
          <w:sz w:val="32"/>
          <w:szCs w:val="32"/>
          <w:u w:val="none"/>
          <w:lang w:val="en-US" w:eastAsia="zh-CN"/>
        </w:rPr>
        <w:t>我县目前有京港澳高速隆尧防疫检查点一处，对进出我县车辆严格按照国务院、省、市保通保畅会议精神要求，统筹做好疫情防控和物流保通保畅各项工作，保障物流畅通和产业链供应链稳定。（责任单位：县农业农村局、县交通运输局等部门）</w:t>
      </w:r>
    </w:p>
    <w:p>
      <w:pPr>
        <w:spacing w:line="500" w:lineRule="exact"/>
        <w:ind w:firstLine="643" w:firstLineChars="200"/>
        <w:rPr>
          <w:rFonts w:hint="eastAsia" w:ascii="仿宋_GB2312" w:hAnsi="仿宋_GB2312" w:eastAsia="仿宋_GB2312" w:cs="仿宋_GB2312"/>
          <w:b w:val="0"/>
          <w:bCs w:val="0"/>
          <w:sz w:val="32"/>
          <w:szCs w:val="32"/>
          <w:u w:val="none"/>
          <w:lang w:eastAsia="zh-CN"/>
        </w:rPr>
      </w:pPr>
      <w:r>
        <w:rPr>
          <w:rFonts w:hint="eastAsia" w:ascii="仿宋_GB2312" w:hAnsi="仿宋_GB2312" w:eastAsia="仿宋_GB2312" w:cs="仿宋_GB2312"/>
          <w:b/>
          <w:bCs/>
          <w:sz w:val="32"/>
          <w:szCs w:val="32"/>
          <w:u w:val="none"/>
          <w:lang w:val="en-US" w:eastAsia="zh-CN"/>
        </w:rPr>
        <w:t>十、加强储备调节。</w:t>
      </w:r>
      <w:r>
        <w:rPr>
          <w:rFonts w:hint="eastAsia" w:ascii="仿宋_GB2312" w:hAnsi="仿宋_GB2312" w:eastAsia="仿宋_GB2312" w:cs="仿宋_GB2312"/>
          <w:b w:val="0"/>
          <w:bCs w:val="0"/>
          <w:sz w:val="32"/>
          <w:szCs w:val="32"/>
          <w:u w:val="none"/>
          <w:lang w:val="en-US" w:eastAsia="zh-CN"/>
        </w:rPr>
        <w:t>落实物资政府储备制度，市场出现异常波动，由部门及时组织投放政府储备。2022年隆尧县县级储备：1、小麦4万吨，承储单位为隆尧县尧农粮食储备有限公司。2、面粉2000吨，承储单位为华龙农庄。3、食盐150吨，承储单位为隆尧县盐业公司。4、隆尧县救灾物资储备库，目前储备有帐篷、折叠床、棉被、床垫、毛巾被、毛巾等17种24000件救灾物资。</w:t>
      </w:r>
      <w:r>
        <w:rPr>
          <w:rFonts w:hint="eastAsia" w:ascii="仿宋_GB2312" w:hAnsi="仿宋_GB2312" w:eastAsia="仿宋_GB2312" w:cs="仿宋_GB2312"/>
          <w:b w:val="0"/>
          <w:bCs w:val="0"/>
          <w:sz w:val="32"/>
          <w:szCs w:val="32"/>
          <w:u w:val="none"/>
          <w:lang w:eastAsia="zh-CN"/>
        </w:rPr>
        <w:t>（责任单位：县发改局、县财政局）</w:t>
      </w:r>
    </w:p>
    <w:p>
      <w:pPr>
        <w:spacing w:line="500" w:lineRule="exact"/>
        <w:ind w:firstLine="640" w:firstLineChars="200"/>
        <w:rPr>
          <w:rFonts w:hint="eastAsia" w:ascii="仿宋_GB2312" w:hAnsi="仿宋_GB2312" w:eastAsia="仿宋_GB2312" w:cs="仿宋_GB2312"/>
          <w:b w:val="0"/>
          <w:bCs w:val="0"/>
          <w:kern w:val="2"/>
          <w:sz w:val="32"/>
          <w:szCs w:val="32"/>
          <w:u w:val="none"/>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textAlignment w:val="auto"/>
        <w:rPr>
          <w:rFonts w:hint="eastAsia" w:ascii="仿宋_GB2312" w:hAnsi="仿宋_GB2312" w:eastAsia="仿宋_GB2312" w:cs="仿宋_GB2312"/>
          <w:b w:val="0"/>
          <w:bCs w:val="0"/>
          <w:kern w:val="2"/>
          <w:sz w:val="32"/>
          <w:szCs w:val="32"/>
          <w:u w:val="none"/>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 w:val="0"/>
          <w:bCs w:val="0"/>
          <w:kern w:val="2"/>
          <w:sz w:val="32"/>
          <w:szCs w:val="32"/>
          <w:u w:val="none"/>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textAlignment w:val="auto"/>
        <w:rPr>
          <w:rFonts w:hint="eastAsia" w:ascii="仿宋_GB2312" w:hAnsi="仿宋_GB2312" w:eastAsia="仿宋_GB2312" w:cs="仿宋_GB2312"/>
          <w:b w:val="0"/>
          <w:bCs w:val="0"/>
          <w:kern w:val="2"/>
          <w:sz w:val="32"/>
          <w:szCs w:val="32"/>
          <w:u w:val="none"/>
          <w:lang w:val="en-US" w:eastAsia="zh-CN" w:bidi="ar-SA"/>
        </w:rPr>
      </w:pPr>
    </w:p>
    <w:p>
      <w:pPr>
        <w:numPr>
          <w:ilvl w:val="0"/>
          <w:numId w:val="0"/>
        </w:numPr>
        <w:rPr>
          <w:rFonts w:hint="eastAsia" w:ascii="仿宋_GB2312" w:hAnsi="仿宋_GB2312" w:eastAsia="仿宋_GB2312" w:cs="仿宋_GB2312"/>
          <w:b w:val="0"/>
          <w:bCs w:val="0"/>
          <w:kern w:val="2"/>
          <w:sz w:val="32"/>
          <w:szCs w:val="32"/>
          <w:u w:val="none"/>
          <w:lang w:val="en-US" w:eastAsia="zh-CN" w:bidi="ar-SA"/>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72DA38"/>
    <w:multiLevelType w:val="singleLevel"/>
    <w:tmpl w:val="8B72DA3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AzNWQ1ZTZmNjQzN2MxMzJmOWM5NDZjZDg5NzcxNWIifQ=="/>
  </w:docVars>
  <w:rsids>
    <w:rsidRoot w:val="7EF45382"/>
    <w:rsid w:val="00E150C1"/>
    <w:rsid w:val="012313A8"/>
    <w:rsid w:val="01E036B6"/>
    <w:rsid w:val="01E81420"/>
    <w:rsid w:val="07954B5B"/>
    <w:rsid w:val="08137CC7"/>
    <w:rsid w:val="08BA6A96"/>
    <w:rsid w:val="0A4A7CCF"/>
    <w:rsid w:val="0B445801"/>
    <w:rsid w:val="0C9C64B3"/>
    <w:rsid w:val="0F050BAB"/>
    <w:rsid w:val="0F964FBA"/>
    <w:rsid w:val="14060DE1"/>
    <w:rsid w:val="1428036B"/>
    <w:rsid w:val="15746D65"/>
    <w:rsid w:val="1669352C"/>
    <w:rsid w:val="167E2E26"/>
    <w:rsid w:val="1821121D"/>
    <w:rsid w:val="1AD528A7"/>
    <w:rsid w:val="1D912729"/>
    <w:rsid w:val="1F4E62A7"/>
    <w:rsid w:val="23A44716"/>
    <w:rsid w:val="259512D7"/>
    <w:rsid w:val="27751458"/>
    <w:rsid w:val="27767BD4"/>
    <w:rsid w:val="27A14D63"/>
    <w:rsid w:val="292F2731"/>
    <w:rsid w:val="2B764AA6"/>
    <w:rsid w:val="2C6273B8"/>
    <w:rsid w:val="2D1C1962"/>
    <w:rsid w:val="302D1E0E"/>
    <w:rsid w:val="30382ADC"/>
    <w:rsid w:val="306D65F1"/>
    <w:rsid w:val="3197626D"/>
    <w:rsid w:val="32011512"/>
    <w:rsid w:val="3319214C"/>
    <w:rsid w:val="332918CD"/>
    <w:rsid w:val="33766EB2"/>
    <w:rsid w:val="343366AE"/>
    <w:rsid w:val="34486182"/>
    <w:rsid w:val="36C24BE4"/>
    <w:rsid w:val="3960448A"/>
    <w:rsid w:val="39C23603"/>
    <w:rsid w:val="3BAC0AD3"/>
    <w:rsid w:val="3BE2530F"/>
    <w:rsid w:val="3C9C7C85"/>
    <w:rsid w:val="3D9B03E3"/>
    <w:rsid w:val="3E1F46CA"/>
    <w:rsid w:val="3E287A22"/>
    <w:rsid w:val="3F647EF1"/>
    <w:rsid w:val="41876E6D"/>
    <w:rsid w:val="419473C2"/>
    <w:rsid w:val="42942903"/>
    <w:rsid w:val="42CB0061"/>
    <w:rsid w:val="45435142"/>
    <w:rsid w:val="46371CBB"/>
    <w:rsid w:val="464473C4"/>
    <w:rsid w:val="4AA04DE4"/>
    <w:rsid w:val="4B1A1D68"/>
    <w:rsid w:val="4EAB7B8E"/>
    <w:rsid w:val="4ED62F9E"/>
    <w:rsid w:val="50005CC4"/>
    <w:rsid w:val="50727571"/>
    <w:rsid w:val="508A344E"/>
    <w:rsid w:val="5234304D"/>
    <w:rsid w:val="52633C03"/>
    <w:rsid w:val="53F600F4"/>
    <w:rsid w:val="545430A7"/>
    <w:rsid w:val="54A65FF3"/>
    <w:rsid w:val="56F65867"/>
    <w:rsid w:val="58EF39D8"/>
    <w:rsid w:val="5A3B378D"/>
    <w:rsid w:val="5AA04754"/>
    <w:rsid w:val="5CCA5DE3"/>
    <w:rsid w:val="5D8E2F31"/>
    <w:rsid w:val="5DB6074F"/>
    <w:rsid w:val="5E4D2CD1"/>
    <w:rsid w:val="5F545A4D"/>
    <w:rsid w:val="60D40A90"/>
    <w:rsid w:val="62EA6294"/>
    <w:rsid w:val="641A5BE9"/>
    <w:rsid w:val="651D2E62"/>
    <w:rsid w:val="65986D06"/>
    <w:rsid w:val="6B2C71B7"/>
    <w:rsid w:val="6D372F2F"/>
    <w:rsid w:val="6FA128E1"/>
    <w:rsid w:val="7487409F"/>
    <w:rsid w:val="75C864A7"/>
    <w:rsid w:val="78306FD5"/>
    <w:rsid w:val="79BC6C95"/>
    <w:rsid w:val="79FF1C03"/>
    <w:rsid w:val="7B2E5971"/>
    <w:rsid w:val="7CDC1CB3"/>
    <w:rsid w:val="7D194BED"/>
    <w:rsid w:val="7EF453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adjustRightInd/>
      <w:snapToGrid/>
      <w:spacing w:before="100" w:beforeAutospacing="1" w:after="100" w:afterAutospacing="1"/>
    </w:pPr>
    <w:rPr>
      <w:rFonts w:ascii="宋体" w:hAnsi="宋体" w:eastAsia="宋体" w:cs="宋体"/>
      <w:sz w:val="24"/>
      <w:szCs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1764</Words>
  <Characters>1783</Characters>
  <Lines>0</Lines>
  <Paragraphs>0</Paragraphs>
  <TotalTime>18</TotalTime>
  <ScaleCrop>false</ScaleCrop>
  <LinksUpToDate>false</LinksUpToDate>
  <CharactersWithSpaces>1783</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2022-06-07T03:36:00Z</dcterms:created>
  <dc:creator>Administrator</dc:creator>
  <cp:lastModifiedBy>Administrator</cp:lastModifiedBy>
  <cp:lastPrinted>2022-07-01T01:05:22Z</cp:lastPrinted>
  <dcterms:modified xsi:type="dcterms:W3CDTF">2022-07-01T01:05:31Z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B9319D616E0647BDBFAEADC971047CC3</vt:lpwstr>
  </property>
</Properties>
</file>