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hint="eastAsia" w:ascii="仿宋" w:hAnsi="仿宋" w:eastAsia="仿宋" w:cs="仿宋"/>
          <w:sz w:val="44"/>
          <w:szCs w:val="44"/>
        </w:rPr>
      </w:pPr>
      <w:r>
        <w:rPr>
          <w:rFonts w:hint="eastAsia" w:ascii="仿宋" w:hAnsi="仿宋" w:eastAsia="仿宋" w:cs="仿宋"/>
          <w:sz w:val="44"/>
          <w:szCs w:val="44"/>
        </w:rPr>
        <w:t>隆尧县消防救援大队</w:t>
      </w:r>
    </w:p>
    <w:p>
      <w:pPr>
        <w:ind w:firstLine="880" w:firstLineChars="200"/>
        <w:jc w:val="center"/>
        <w:rPr>
          <w:rFonts w:hint="eastAsia" w:ascii="仿宋" w:hAnsi="仿宋" w:eastAsia="仿宋" w:cs="仿宋"/>
          <w:sz w:val="44"/>
          <w:szCs w:val="44"/>
        </w:rPr>
      </w:pPr>
      <w:r>
        <w:rPr>
          <w:rFonts w:hint="eastAsia" w:ascii="仿宋" w:hAnsi="仿宋" w:eastAsia="仿宋" w:cs="仿宋"/>
          <w:sz w:val="44"/>
          <w:szCs w:val="44"/>
        </w:rPr>
        <w:t>2021年部门预算信息公开情况说明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按照《预算法》、《地方预决算公开操作规程》和《</w:t>
      </w:r>
      <w:r>
        <w:rPr>
          <w:rFonts w:hint="eastAsia" w:ascii="仿宋" w:hAnsi="仿宋" w:eastAsia="仿宋" w:cs="仿宋"/>
          <w:sz w:val="32"/>
          <w:szCs w:val="32"/>
          <w:lang w:val="en-US" w:eastAsia="zh-CN"/>
        </w:rPr>
        <w:t>隆尧县县</w:t>
      </w:r>
      <w:r>
        <w:rPr>
          <w:rFonts w:hint="eastAsia" w:ascii="仿宋" w:hAnsi="仿宋" w:eastAsia="仿宋" w:cs="仿宋"/>
          <w:sz w:val="32"/>
          <w:szCs w:val="32"/>
        </w:rPr>
        <w:t>级预算公开办法》规定，现将隆尧县消防救援大队2021年部门预算公开如下：</w:t>
      </w:r>
    </w:p>
    <w:p>
      <w:pPr>
        <w:ind w:firstLine="640"/>
        <w:rPr>
          <w:rFonts w:hint="eastAsia" w:ascii="仿宋" w:hAnsi="仿宋" w:eastAsia="仿宋" w:cs="仿宋"/>
          <w:sz w:val="32"/>
          <w:szCs w:val="32"/>
        </w:rPr>
      </w:pPr>
      <w:r>
        <w:rPr>
          <w:rFonts w:hint="eastAsia" w:ascii="仿宋" w:hAnsi="仿宋" w:eastAsia="仿宋" w:cs="仿宋"/>
          <w:sz w:val="32"/>
          <w:szCs w:val="32"/>
        </w:rPr>
        <w:t>一、部门职责及机构设置情况</w:t>
      </w:r>
    </w:p>
    <w:p>
      <w:pPr>
        <w:pStyle w:val="10"/>
        <w:shd w:val="clear" w:color="auto" w:fill="FFFFFF"/>
        <w:spacing w:before="0" w:beforeAutospacing="0" w:after="225" w:afterAutospacing="0" w:line="360" w:lineRule="atLeast"/>
        <w:ind w:firstLine="480"/>
        <w:rPr>
          <w:rFonts w:hint="eastAsia" w:ascii="仿宋" w:hAnsi="仿宋" w:eastAsia="仿宋" w:cs="仿宋"/>
          <w:b/>
          <w:sz w:val="32"/>
          <w:szCs w:val="32"/>
        </w:rPr>
      </w:pPr>
      <w:r>
        <w:rPr>
          <w:rFonts w:hint="eastAsia" w:ascii="仿宋" w:hAnsi="仿宋" w:eastAsia="仿宋" w:cs="仿宋"/>
          <w:b/>
          <w:sz w:val="32"/>
          <w:szCs w:val="32"/>
        </w:rPr>
        <w:t>部门职责：</w:t>
      </w:r>
      <w:bookmarkStart w:id="4" w:name="_GoBack"/>
      <w:bookmarkEnd w:id="4"/>
    </w:p>
    <w:p>
      <w:pPr>
        <w:pStyle w:val="10"/>
        <w:shd w:val="clear" w:color="auto" w:fill="FFFFFF"/>
        <w:spacing w:before="0" w:beforeAutospacing="0" w:after="225" w:afterAutospacing="0" w:line="360" w:lineRule="atLeast"/>
        <w:ind w:firstLine="480"/>
        <w:rPr>
          <w:rFonts w:hint="eastAsia" w:ascii="仿宋" w:hAnsi="仿宋" w:eastAsia="仿宋" w:cs="仿宋"/>
          <w:kern w:val="2"/>
          <w:sz w:val="32"/>
          <w:szCs w:val="32"/>
        </w:rPr>
      </w:pPr>
      <w:r>
        <w:rPr>
          <w:rFonts w:hint="eastAsia" w:ascii="仿宋" w:hAnsi="仿宋" w:eastAsia="仿宋" w:cs="仿宋"/>
          <w:kern w:val="2"/>
          <w:sz w:val="32"/>
          <w:szCs w:val="32"/>
        </w:rPr>
        <w:t>(一)承担责任区消防安全宣传教育培训，普及消防知识;</w:t>
      </w:r>
    </w:p>
    <w:p>
      <w:pPr>
        <w:pStyle w:val="10"/>
        <w:shd w:val="clear" w:color="auto" w:fill="FFFFFF"/>
        <w:spacing w:before="0" w:beforeAutospacing="0" w:after="225" w:afterAutospacing="0" w:line="360" w:lineRule="atLeast"/>
        <w:ind w:firstLine="480"/>
        <w:rPr>
          <w:rFonts w:hint="eastAsia" w:ascii="仿宋" w:hAnsi="仿宋" w:eastAsia="仿宋" w:cs="仿宋"/>
          <w:kern w:val="2"/>
          <w:sz w:val="32"/>
          <w:szCs w:val="32"/>
        </w:rPr>
      </w:pPr>
      <w:r>
        <w:rPr>
          <w:rFonts w:hint="eastAsia" w:ascii="仿宋" w:hAnsi="仿宋" w:eastAsia="仿宋" w:cs="仿宋"/>
          <w:kern w:val="2"/>
          <w:sz w:val="32"/>
          <w:szCs w:val="32"/>
        </w:rPr>
        <w:t>(二)定期进行防火检查，督促有关单位和个人落实防火责任制，及时消除火灾隐患;</w:t>
      </w:r>
    </w:p>
    <w:p>
      <w:pPr>
        <w:pStyle w:val="10"/>
        <w:shd w:val="clear" w:color="auto" w:fill="FFFFFF"/>
        <w:spacing w:before="0" w:beforeAutospacing="0" w:after="225" w:afterAutospacing="0" w:line="360" w:lineRule="atLeast"/>
        <w:ind w:firstLine="480"/>
        <w:rPr>
          <w:rFonts w:hint="eastAsia" w:ascii="仿宋" w:hAnsi="仿宋" w:eastAsia="仿宋" w:cs="仿宋"/>
          <w:kern w:val="2"/>
          <w:sz w:val="32"/>
          <w:szCs w:val="32"/>
        </w:rPr>
      </w:pPr>
      <w:r>
        <w:rPr>
          <w:rFonts w:hint="eastAsia" w:ascii="仿宋" w:hAnsi="仿宋" w:eastAsia="仿宋" w:cs="仿宋"/>
          <w:kern w:val="2"/>
          <w:sz w:val="32"/>
          <w:szCs w:val="32"/>
        </w:rPr>
        <w:t>(三)建立防火检查档案，按照国家规定设置防火标志;</w:t>
      </w:r>
    </w:p>
    <w:p>
      <w:pPr>
        <w:pStyle w:val="10"/>
        <w:shd w:val="clear" w:color="auto" w:fill="FFFFFF"/>
        <w:spacing w:before="0" w:beforeAutospacing="0" w:after="225" w:afterAutospacing="0" w:line="360" w:lineRule="atLeast"/>
        <w:ind w:firstLine="480"/>
        <w:rPr>
          <w:rFonts w:hint="eastAsia" w:ascii="仿宋" w:hAnsi="仿宋" w:eastAsia="仿宋" w:cs="仿宋"/>
          <w:kern w:val="2"/>
          <w:sz w:val="32"/>
          <w:szCs w:val="32"/>
        </w:rPr>
      </w:pPr>
      <w:r>
        <w:rPr>
          <w:rFonts w:hint="eastAsia" w:ascii="仿宋" w:hAnsi="仿宋" w:eastAsia="仿宋" w:cs="仿宋"/>
          <w:kern w:val="2"/>
          <w:sz w:val="32"/>
          <w:szCs w:val="32"/>
        </w:rPr>
        <w:t>(四)掌握责任区域的道路、消防水源、消防安全重点单位、重点部位等情况，建立相应的消防业务资料档案;</w:t>
      </w:r>
    </w:p>
    <w:p>
      <w:pPr>
        <w:pStyle w:val="10"/>
        <w:shd w:val="clear" w:color="auto" w:fill="FFFFFF"/>
        <w:spacing w:before="0" w:beforeAutospacing="0" w:after="225" w:afterAutospacing="0" w:line="360" w:lineRule="atLeast"/>
        <w:ind w:firstLine="480"/>
        <w:rPr>
          <w:rFonts w:hint="eastAsia" w:ascii="仿宋" w:hAnsi="仿宋" w:eastAsia="仿宋" w:cs="仿宋"/>
          <w:kern w:val="2"/>
          <w:sz w:val="32"/>
          <w:szCs w:val="32"/>
        </w:rPr>
      </w:pPr>
      <w:r>
        <w:rPr>
          <w:rFonts w:hint="eastAsia" w:ascii="仿宋" w:hAnsi="仿宋" w:eastAsia="仿宋" w:cs="仿宋"/>
          <w:kern w:val="2"/>
          <w:sz w:val="32"/>
          <w:szCs w:val="32"/>
        </w:rPr>
        <w:t>(五)制定消防安全重点单位、重点部位的事故处置和灭火作战预案，定期组织演练;</w:t>
      </w:r>
    </w:p>
    <w:p>
      <w:pPr>
        <w:pStyle w:val="10"/>
        <w:shd w:val="clear" w:color="auto" w:fill="FFFFFF"/>
        <w:spacing w:before="0" w:beforeAutospacing="0" w:after="225" w:afterAutospacing="0" w:line="360" w:lineRule="atLeast"/>
        <w:ind w:firstLine="480"/>
        <w:rPr>
          <w:rFonts w:hint="eastAsia" w:ascii="仿宋" w:hAnsi="仿宋" w:eastAsia="仿宋" w:cs="仿宋"/>
          <w:kern w:val="2"/>
          <w:sz w:val="32"/>
          <w:szCs w:val="32"/>
        </w:rPr>
      </w:pPr>
      <w:r>
        <w:rPr>
          <w:rFonts w:hint="eastAsia" w:ascii="仿宋" w:hAnsi="仿宋" w:eastAsia="仿宋" w:cs="仿宋"/>
          <w:kern w:val="2"/>
          <w:sz w:val="32"/>
          <w:szCs w:val="32"/>
        </w:rPr>
        <w:t>(六)指导培训义务消防队;</w:t>
      </w:r>
    </w:p>
    <w:p>
      <w:pPr>
        <w:pStyle w:val="10"/>
        <w:shd w:val="clear" w:color="auto" w:fill="FFFFFF"/>
        <w:spacing w:before="0" w:beforeAutospacing="0" w:after="225" w:afterAutospacing="0" w:line="360" w:lineRule="atLeast"/>
        <w:ind w:firstLine="480"/>
        <w:rPr>
          <w:rFonts w:hint="eastAsia" w:ascii="仿宋" w:hAnsi="仿宋" w:eastAsia="仿宋" w:cs="仿宋"/>
          <w:kern w:val="2"/>
          <w:sz w:val="32"/>
          <w:szCs w:val="32"/>
        </w:rPr>
      </w:pPr>
      <w:r>
        <w:rPr>
          <w:rFonts w:hint="eastAsia" w:ascii="仿宋" w:hAnsi="仿宋" w:eastAsia="仿宋" w:cs="仿宋"/>
          <w:kern w:val="2"/>
          <w:sz w:val="32"/>
          <w:szCs w:val="32"/>
        </w:rPr>
        <w:t>(七)扑救火灾，保护火灾现场，协助有关部门调查火灾原因、处理火灾事故;</w:t>
      </w:r>
    </w:p>
    <w:p>
      <w:pPr>
        <w:pStyle w:val="10"/>
        <w:shd w:val="clear" w:color="auto" w:fill="FFFFFF"/>
        <w:spacing w:before="0" w:beforeAutospacing="0" w:after="225" w:afterAutospacing="0" w:line="360" w:lineRule="atLeast"/>
        <w:ind w:firstLine="480"/>
        <w:rPr>
          <w:rFonts w:hint="eastAsia" w:ascii="仿宋" w:hAnsi="仿宋" w:eastAsia="仿宋" w:cs="仿宋"/>
          <w:kern w:val="2"/>
          <w:sz w:val="32"/>
          <w:szCs w:val="32"/>
        </w:rPr>
      </w:pPr>
      <w:r>
        <w:rPr>
          <w:rFonts w:hint="eastAsia" w:ascii="仿宋" w:hAnsi="仿宋" w:eastAsia="仿宋" w:cs="仿宋"/>
          <w:kern w:val="2"/>
          <w:sz w:val="32"/>
          <w:szCs w:val="32"/>
        </w:rPr>
        <w:t>(八)定期向消防救援机构报告消防工作情况;</w:t>
      </w:r>
    </w:p>
    <w:p>
      <w:pPr>
        <w:pStyle w:val="10"/>
        <w:shd w:val="clear" w:color="auto" w:fill="FFFFFF"/>
        <w:spacing w:before="0" w:beforeAutospacing="0" w:after="225" w:afterAutospacing="0" w:line="360" w:lineRule="atLeast"/>
        <w:ind w:firstLine="480"/>
        <w:rPr>
          <w:rFonts w:hint="eastAsia" w:ascii="仿宋" w:hAnsi="仿宋" w:eastAsia="仿宋" w:cs="仿宋"/>
          <w:kern w:val="2"/>
          <w:sz w:val="32"/>
          <w:szCs w:val="32"/>
        </w:rPr>
      </w:pPr>
      <w:r>
        <w:rPr>
          <w:rFonts w:hint="eastAsia" w:ascii="仿宋" w:hAnsi="仿宋" w:eastAsia="仿宋" w:cs="仿宋"/>
          <w:kern w:val="2"/>
          <w:sz w:val="32"/>
          <w:szCs w:val="32"/>
        </w:rPr>
        <w:t>(九)按规定应当履行的其他职责。</w:t>
      </w:r>
    </w:p>
    <w:p>
      <w:pPr>
        <w:ind w:firstLine="640" w:firstLineChars="200"/>
        <w:rPr>
          <w:rFonts w:hint="eastAsia" w:ascii="仿宋" w:hAnsi="仿宋" w:eastAsia="仿宋" w:cs="仿宋"/>
          <w:b/>
          <w:sz w:val="32"/>
          <w:szCs w:val="32"/>
        </w:rPr>
      </w:pPr>
    </w:p>
    <w:p>
      <w:pPr>
        <w:autoSpaceDE w:val="0"/>
        <w:autoSpaceDN w:val="0"/>
        <w:adjustRightInd w:val="0"/>
        <w:ind w:firstLine="640" w:firstLineChars="200"/>
        <w:jc w:val="left"/>
        <w:rPr>
          <w:rFonts w:hint="eastAsia" w:ascii="仿宋" w:hAnsi="仿宋" w:eastAsia="仿宋" w:cs="仿宋"/>
          <w:b/>
          <w:sz w:val="32"/>
          <w:szCs w:val="32"/>
        </w:rPr>
      </w:pPr>
      <w:r>
        <w:rPr>
          <w:rFonts w:hint="eastAsia" w:ascii="仿宋" w:hAnsi="仿宋" w:eastAsia="仿宋" w:cs="仿宋"/>
          <w:b/>
          <w:sz w:val="32"/>
          <w:szCs w:val="32"/>
        </w:rPr>
        <w:t>机构设置：</w:t>
      </w:r>
    </w:p>
    <w:p>
      <w:pPr>
        <w:jc w:val="center"/>
        <w:outlineLvl w:val="0"/>
        <w:rPr>
          <w:rFonts w:hint="eastAsia" w:ascii="仿宋" w:hAnsi="仿宋" w:eastAsia="仿宋" w:cs="仿宋"/>
          <w:sz w:val="32"/>
          <w:szCs w:val="24"/>
        </w:rPr>
      </w:pPr>
      <w:r>
        <w:rPr>
          <w:rFonts w:hint="eastAsia" w:ascii="仿宋" w:hAnsi="仿宋" w:eastAsia="仿宋" w:cs="仿宋"/>
          <w:sz w:val="32"/>
          <w:szCs w:val="24"/>
        </w:rPr>
        <w:t>部门机构设置情况</w:t>
      </w:r>
    </w:p>
    <w:tbl>
      <w:tblPr>
        <w:tblStyle w:val="11"/>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76"/>
        <w:gridCol w:w="1701"/>
        <w:gridCol w:w="1792"/>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276" w:type="dxa"/>
            <w:vMerge w:val="restart"/>
            <w:vAlign w:val="center"/>
          </w:tcPr>
          <w:p>
            <w:pPr>
              <w:spacing w:line="300" w:lineRule="exact"/>
              <w:jc w:val="center"/>
              <w:rPr>
                <w:rFonts w:hint="eastAsia" w:ascii="仿宋" w:hAnsi="仿宋" w:eastAsia="仿宋" w:cs="仿宋"/>
                <w:b/>
              </w:rPr>
            </w:pPr>
            <w:r>
              <w:rPr>
                <w:rFonts w:hint="eastAsia" w:ascii="仿宋" w:hAnsi="仿宋" w:eastAsia="仿宋" w:cs="仿宋"/>
                <w:b/>
              </w:rPr>
              <w:t>单位名称</w:t>
            </w:r>
          </w:p>
        </w:tc>
        <w:tc>
          <w:tcPr>
            <w:tcW w:w="1701" w:type="dxa"/>
            <w:vMerge w:val="restart"/>
            <w:vAlign w:val="center"/>
          </w:tcPr>
          <w:p>
            <w:pPr>
              <w:spacing w:line="300" w:lineRule="exact"/>
              <w:jc w:val="center"/>
              <w:rPr>
                <w:rFonts w:hint="eastAsia" w:ascii="仿宋" w:hAnsi="仿宋" w:eastAsia="仿宋" w:cs="仿宋"/>
                <w:b/>
              </w:rPr>
            </w:pPr>
            <w:r>
              <w:rPr>
                <w:rFonts w:hint="eastAsia" w:ascii="仿宋" w:hAnsi="仿宋" w:eastAsia="仿宋" w:cs="仿宋"/>
                <w:b/>
              </w:rPr>
              <w:t>单位性质</w:t>
            </w:r>
          </w:p>
        </w:tc>
        <w:tc>
          <w:tcPr>
            <w:tcW w:w="1792" w:type="dxa"/>
            <w:vMerge w:val="restart"/>
            <w:vAlign w:val="center"/>
          </w:tcPr>
          <w:p>
            <w:pPr>
              <w:spacing w:line="300" w:lineRule="exact"/>
              <w:jc w:val="center"/>
              <w:rPr>
                <w:rFonts w:hint="eastAsia" w:ascii="仿宋" w:hAnsi="仿宋" w:eastAsia="仿宋" w:cs="仿宋"/>
                <w:b/>
              </w:rPr>
            </w:pPr>
            <w:r>
              <w:rPr>
                <w:rFonts w:hint="eastAsia" w:ascii="仿宋" w:hAnsi="仿宋" w:eastAsia="仿宋" w:cs="仿宋"/>
                <w:b/>
              </w:rPr>
              <w:t>单位规格</w:t>
            </w:r>
          </w:p>
        </w:tc>
        <w:tc>
          <w:tcPr>
            <w:tcW w:w="3013" w:type="dxa"/>
            <w:vMerge w:val="restart"/>
            <w:vAlign w:val="center"/>
          </w:tcPr>
          <w:p>
            <w:pPr>
              <w:spacing w:line="300" w:lineRule="exact"/>
              <w:jc w:val="center"/>
              <w:rPr>
                <w:rFonts w:hint="eastAsia" w:ascii="仿宋" w:hAnsi="仿宋" w:eastAsia="仿宋" w:cs="仿宋"/>
                <w:b/>
              </w:rPr>
            </w:pPr>
            <w:r>
              <w:rPr>
                <w:rFonts w:hint="eastAsia" w:ascii="仿宋" w:hAnsi="仿宋" w:eastAsia="仿宋" w:cs="仿宋"/>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276" w:type="dxa"/>
            <w:vMerge w:val="continue"/>
            <w:vAlign w:val="center"/>
          </w:tcPr>
          <w:p>
            <w:pPr>
              <w:spacing w:line="300" w:lineRule="exact"/>
              <w:jc w:val="left"/>
              <w:outlineLvl w:val="0"/>
              <w:rPr>
                <w:rFonts w:hint="eastAsia" w:ascii="仿宋" w:hAnsi="仿宋" w:eastAsia="仿宋" w:cs="仿宋"/>
              </w:rPr>
            </w:pPr>
          </w:p>
        </w:tc>
        <w:tc>
          <w:tcPr>
            <w:tcW w:w="1701" w:type="dxa"/>
            <w:vMerge w:val="continue"/>
            <w:vAlign w:val="center"/>
          </w:tcPr>
          <w:p>
            <w:pPr>
              <w:spacing w:line="300" w:lineRule="exact"/>
              <w:jc w:val="left"/>
              <w:outlineLvl w:val="0"/>
              <w:rPr>
                <w:rFonts w:hint="eastAsia" w:ascii="仿宋" w:hAnsi="仿宋" w:eastAsia="仿宋" w:cs="仿宋"/>
              </w:rPr>
            </w:pPr>
          </w:p>
        </w:tc>
        <w:tc>
          <w:tcPr>
            <w:tcW w:w="1792" w:type="dxa"/>
            <w:vMerge w:val="continue"/>
            <w:vAlign w:val="center"/>
          </w:tcPr>
          <w:p>
            <w:pPr>
              <w:spacing w:line="300" w:lineRule="exact"/>
              <w:jc w:val="left"/>
              <w:outlineLvl w:val="0"/>
              <w:rPr>
                <w:rFonts w:hint="eastAsia" w:ascii="仿宋" w:hAnsi="仿宋" w:eastAsia="仿宋" w:cs="仿宋"/>
              </w:rPr>
            </w:pPr>
          </w:p>
        </w:tc>
        <w:tc>
          <w:tcPr>
            <w:tcW w:w="3013" w:type="dxa"/>
            <w:vMerge w:val="continue"/>
            <w:vAlign w:val="center"/>
          </w:tcPr>
          <w:p>
            <w:pPr>
              <w:spacing w:line="300" w:lineRule="exact"/>
              <w:jc w:val="left"/>
              <w:outlineLvl w:val="0"/>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276" w:type="dxa"/>
            <w:vAlign w:val="center"/>
          </w:tcPr>
          <w:p>
            <w:pPr>
              <w:spacing w:line="300" w:lineRule="exact"/>
              <w:jc w:val="left"/>
              <w:rPr>
                <w:rFonts w:hint="eastAsia" w:ascii="仿宋" w:hAnsi="仿宋" w:eastAsia="仿宋" w:cs="仿宋"/>
              </w:rPr>
            </w:pPr>
            <w:r>
              <w:rPr>
                <w:rFonts w:hint="eastAsia" w:ascii="仿宋" w:hAnsi="仿宋" w:eastAsia="仿宋" w:cs="仿宋"/>
              </w:rPr>
              <w:t>隆尧县消防救援大队</w:t>
            </w:r>
          </w:p>
        </w:tc>
        <w:tc>
          <w:tcPr>
            <w:tcW w:w="1701" w:type="dxa"/>
            <w:vAlign w:val="center"/>
          </w:tcPr>
          <w:p>
            <w:pPr>
              <w:spacing w:line="300" w:lineRule="exact"/>
              <w:jc w:val="center"/>
              <w:rPr>
                <w:rFonts w:hint="eastAsia" w:ascii="仿宋" w:hAnsi="仿宋" w:eastAsia="仿宋" w:cs="仿宋"/>
              </w:rPr>
            </w:pPr>
            <w:r>
              <w:rPr>
                <w:rFonts w:hint="eastAsia" w:ascii="仿宋" w:hAnsi="仿宋" w:eastAsia="仿宋" w:cs="仿宋"/>
              </w:rPr>
              <w:t>行政</w:t>
            </w:r>
          </w:p>
        </w:tc>
        <w:tc>
          <w:tcPr>
            <w:tcW w:w="1792" w:type="dxa"/>
            <w:vAlign w:val="center"/>
          </w:tcPr>
          <w:p>
            <w:pPr>
              <w:spacing w:line="300" w:lineRule="exact"/>
              <w:jc w:val="center"/>
              <w:rPr>
                <w:rFonts w:hint="eastAsia" w:ascii="仿宋" w:hAnsi="仿宋" w:eastAsia="仿宋" w:cs="仿宋"/>
              </w:rPr>
            </w:pPr>
            <w:r>
              <w:rPr>
                <w:rFonts w:hint="eastAsia" w:ascii="仿宋" w:hAnsi="仿宋" w:eastAsia="仿宋" w:cs="仿宋"/>
              </w:rPr>
              <w:t>部门</w:t>
            </w:r>
          </w:p>
        </w:tc>
        <w:tc>
          <w:tcPr>
            <w:tcW w:w="3013" w:type="dxa"/>
            <w:vAlign w:val="center"/>
          </w:tcPr>
          <w:p>
            <w:pPr>
              <w:spacing w:line="300" w:lineRule="exact"/>
              <w:jc w:val="center"/>
              <w:rPr>
                <w:rFonts w:hint="eastAsia" w:ascii="仿宋" w:hAnsi="仿宋" w:eastAsia="仿宋" w:cs="仿宋"/>
              </w:rPr>
            </w:pPr>
            <w:r>
              <w:rPr>
                <w:rFonts w:hint="eastAsia" w:ascii="仿宋" w:hAnsi="仿宋" w:eastAsia="仿宋" w:cs="仿宋"/>
              </w:rPr>
              <w:t>财政拨款</w:t>
            </w:r>
          </w:p>
        </w:tc>
      </w:tr>
    </w:tbl>
    <w:p>
      <w:pPr>
        <w:ind w:firstLine="640" w:firstLineChars="200"/>
        <w:rPr>
          <w:rFonts w:hint="eastAsia" w:ascii="仿宋" w:hAnsi="仿宋" w:eastAsia="仿宋" w:cs="仿宋"/>
          <w:sz w:val="32"/>
          <w:szCs w:val="32"/>
        </w:rPr>
      </w:pPr>
    </w:p>
    <w:p>
      <w:pPr>
        <w:ind w:firstLine="640" w:firstLineChars="200"/>
        <w:rPr>
          <w:rFonts w:hint="eastAsia" w:ascii="仿宋" w:hAnsi="仿宋" w:eastAsia="仿宋" w:cs="仿宋"/>
          <w:sz w:val="32"/>
          <w:szCs w:val="32"/>
        </w:rPr>
      </w:pPr>
      <w:r>
        <w:rPr>
          <w:rFonts w:hint="eastAsia" w:ascii="仿宋" w:hAnsi="仿宋" w:eastAsia="仿宋" w:cs="仿宋"/>
          <w:sz w:val="32"/>
          <w:szCs w:val="32"/>
        </w:rPr>
        <w:t>二、部门预算安排的总体情况</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按照预算管理有关规定，目前我</w:t>
      </w:r>
      <w:r>
        <w:rPr>
          <w:rFonts w:hint="eastAsia" w:ascii="仿宋" w:hAnsi="仿宋" w:eastAsia="仿宋" w:cs="仿宋"/>
          <w:sz w:val="32"/>
          <w:szCs w:val="32"/>
          <w:lang w:val="en-US" w:eastAsia="zh-CN"/>
        </w:rPr>
        <w:t>县</w:t>
      </w:r>
      <w:r>
        <w:rPr>
          <w:rFonts w:hint="eastAsia" w:ascii="仿宋" w:hAnsi="仿宋" w:eastAsia="仿宋" w:cs="仿宋"/>
          <w:sz w:val="32"/>
          <w:szCs w:val="32"/>
        </w:rPr>
        <w:t>部门预算的编制实行综合预算管理，即全部收入和支出都反映在预算中。隆尧县消防救援大队的收支包含在部门预算中。</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1、收入说明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反映本部门当年全部收入。2021年预算收入1881.32万元，其中：一般公共预算收入1441.32万元，基金预算收入440万元，财政专户核拨收入0万元，其他来源收入（单位资金）0万元，上年结转0万元。</w:t>
      </w:r>
    </w:p>
    <w:p>
      <w:pPr>
        <w:ind w:firstLine="640"/>
        <w:rPr>
          <w:rFonts w:hint="eastAsia" w:ascii="仿宋" w:hAnsi="仿宋" w:eastAsia="仿宋" w:cs="仿宋"/>
          <w:sz w:val="32"/>
          <w:szCs w:val="32"/>
        </w:rPr>
      </w:pPr>
      <w:r>
        <w:rPr>
          <w:rFonts w:hint="eastAsia" w:ascii="仿宋" w:hAnsi="仿宋" w:eastAsia="仿宋" w:cs="仿宋"/>
          <w:sz w:val="32"/>
          <w:szCs w:val="32"/>
        </w:rPr>
        <w:t>2、支出说明</w:t>
      </w:r>
    </w:p>
    <w:p>
      <w:pPr>
        <w:ind w:firstLine="640"/>
        <w:rPr>
          <w:rFonts w:hint="eastAsia"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收支预算总表支出栏、基本支出表、项目支出表按经济分类和支出功能分类科目编制，反映隆尧县消防救援大队年度部门预算中支出预算的总体情况。2021年支出预算</w:t>
      </w:r>
      <w:r>
        <w:rPr>
          <w:rFonts w:hint="eastAsia" w:ascii="仿宋" w:hAnsi="仿宋" w:eastAsia="仿宋" w:cs="仿宋"/>
          <w:b/>
          <w:sz w:val="32"/>
          <w:szCs w:val="32"/>
        </w:rPr>
        <w:t>1881.32</w:t>
      </w:r>
      <w:r>
        <w:rPr>
          <w:rFonts w:hint="eastAsia" w:ascii="仿宋" w:hAnsi="仿宋" w:eastAsia="仿宋" w:cs="仿宋"/>
          <w:sz w:val="32"/>
          <w:szCs w:val="32"/>
        </w:rPr>
        <w:t>万元，其中消防人员及附加经费934.1万元、消防业务经费267.98万元；项目支出679.24万元主要为涉密项目和预算内基建等。</w:t>
      </w:r>
    </w:p>
    <w:p>
      <w:pPr>
        <w:ind w:firstLine="640"/>
        <w:rPr>
          <w:rFonts w:hint="eastAsia" w:ascii="仿宋" w:hAnsi="仿宋" w:eastAsia="仿宋" w:cs="仿宋"/>
          <w:sz w:val="32"/>
          <w:szCs w:val="32"/>
        </w:rPr>
      </w:pPr>
      <w:r>
        <w:rPr>
          <w:rFonts w:hint="eastAsia" w:ascii="仿宋" w:hAnsi="仿宋" w:eastAsia="仿宋" w:cs="仿宋"/>
          <w:sz w:val="32"/>
          <w:szCs w:val="32"/>
        </w:rPr>
        <w:t>3、比上年增减情况</w:t>
      </w:r>
    </w:p>
    <w:p>
      <w:pPr>
        <w:ind w:firstLine="640"/>
        <w:rPr>
          <w:rFonts w:hint="eastAsia" w:ascii="仿宋" w:hAnsi="仿宋" w:eastAsia="仿宋" w:cs="仿宋"/>
          <w:sz w:val="32"/>
          <w:szCs w:val="32"/>
        </w:rPr>
      </w:pPr>
      <w:r>
        <w:rPr>
          <w:rFonts w:hint="eastAsia" w:ascii="仿宋" w:hAnsi="仿宋" w:eastAsia="仿宋" w:cs="仿宋"/>
          <w:sz w:val="32"/>
          <w:szCs w:val="32"/>
        </w:rPr>
        <w:t>2021年预算收支安排1881.32万元，较2020年年初预算增加145.8万元，其中：消防人员及附加经费支出增加666.02万元，主要为增加人员经费支出；消防业务经费支出增加107.04万元，主要为新建莲子镇消防站业务支出；项目支出减少627.26万元（2020年安排莲子镇消防站建设经费），主要为涉密项目和预算内基建等。</w:t>
      </w:r>
    </w:p>
    <w:p>
      <w:pPr>
        <w:autoSpaceDE w:val="0"/>
        <w:autoSpaceDN w:val="0"/>
        <w:adjustRightInd w:val="0"/>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三、机关运行经费安排情况</w:t>
      </w:r>
    </w:p>
    <w:p>
      <w:pPr>
        <w:ind w:firstLine="960" w:firstLineChars="300"/>
        <w:jc w:val="left"/>
        <w:rPr>
          <w:rFonts w:hint="eastAsia" w:ascii="仿宋" w:hAnsi="仿宋" w:eastAsia="仿宋" w:cs="仿宋"/>
          <w:sz w:val="32"/>
          <w:szCs w:val="32"/>
        </w:rPr>
      </w:pPr>
      <w:r>
        <w:rPr>
          <w:rFonts w:hint="eastAsia" w:ascii="仿宋" w:hAnsi="仿宋" w:eastAsia="仿宋" w:cs="仿宋"/>
          <w:sz w:val="32"/>
          <w:szCs w:val="32"/>
        </w:rPr>
        <w:t>2021年，我大队运行经费共计安排267.98万元，主要用于办公费、印刷费、水费、电费、邮电费、取暖费、专用材料、专用燃料和其他交通费等日常运行支出。</w:t>
      </w:r>
    </w:p>
    <w:p>
      <w:pPr>
        <w:autoSpaceDE w:val="0"/>
        <w:autoSpaceDN w:val="0"/>
        <w:adjustRightInd w:val="0"/>
        <w:ind w:firstLine="640" w:firstLineChars="200"/>
        <w:jc w:val="left"/>
        <w:rPr>
          <w:rFonts w:hint="eastAsia" w:ascii="仿宋" w:hAnsi="仿宋" w:eastAsia="仿宋" w:cs="仿宋"/>
          <w:sz w:val="32"/>
          <w:szCs w:val="32"/>
        </w:rPr>
      </w:pPr>
      <w:r>
        <w:rPr>
          <w:rFonts w:hint="eastAsia" w:ascii="仿宋" w:hAnsi="仿宋" w:eastAsia="仿宋" w:cs="仿宋"/>
          <w:sz w:val="32"/>
          <w:szCs w:val="32"/>
        </w:rPr>
        <w:t>四、财政拨款“三公”经费预算情况及增减变化原因</w:t>
      </w:r>
    </w:p>
    <w:p>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rPr>
        <w:t>2021年，我大队财政拨款“三公”经费预算安排0万元，其中因公出国（境）费0万元；公务用车购置及运维费0万元（其中：公务用车购置费为0万元，公务用车运维费0万元)；公务接待费0万元。"三公"经费与2020年持平。</w:t>
      </w:r>
    </w:p>
    <w:p>
      <w:pPr>
        <w:numPr>
          <w:ilvl w:val="0"/>
          <w:numId w:val="1"/>
        </w:numPr>
        <w:ind w:firstLine="640" w:firstLineChars="200"/>
        <w:rPr>
          <w:rFonts w:hint="eastAsia" w:ascii="仿宋" w:hAnsi="仿宋" w:eastAsia="仿宋" w:cs="仿宋"/>
          <w:sz w:val="32"/>
          <w:szCs w:val="32"/>
        </w:rPr>
      </w:pPr>
      <w:r>
        <w:rPr>
          <w:rFonts w:hint="eastAsia" w:ascii="仿宋" w:hAnsi="仿宋" w:eastAsia="仿宋" w:cs="仿宋"/>
          <w:sz w:val="32"/>
          <w:szCs w:val="32"/>
        </w:rPr>
        <w:t>预算绩效信息</w:t>
      </w:r>
    </w:p>
    <w:p>
      <w:pPr>
        <w:numPr>
          <w:ilvl w:val="0"/>
          <w:numId w:val="0"/>
        </w:numPr>
        <w:rPr>
          <w:rFonts w:hint="eastAsia" w:ascii="仿宋" w:hAnsi="仿宋" w:eastAsia="仿宋" w:cs="仿宋"/>
          <w:sz w:val="32"/>
          <w:szCs w:val="32"/>
          <w:lang w:val="en-US" w:eastAsia="zh-CN"/>
        </w:rPr>
      </w:pPr>
      <w:r>
        <w:rPr>
          <w:rFonts w:hint="eastAsia" w:ascii="仿宋" w:hAnsi="仿宋" w:eastAsia="仿宋" w:cs="仿宋"/>
          <w:b/>
          <w:sz w:val="32"/>
          <w:szCs w:val="32"/>
        </w:rPr>
        <w:t>第</w:t>
      </w:r>
      <w:r>
        <w:rPr>
          <w:rFonts w:hint="eastAsia" w:ascii="仿宋" w:hAnsi="仿宋" w:eastAsia="仿宋" w:cs="仿宋"/>
          <w:b/>
          <w:sz w:val="32"/>
          <w:szCs w:val="32"/>
          <w:lang w:val="en-US" w:eastAsia="zh-CN"/>
        </w:rPr>
        <w:t>一</w:t>
      </w:r>
      <w:r>
        <w:rPr>
          <w:rFonts w:hint="eastAsia" w:ascii="仿宋" w:hAnsi="仿宋" w:eastAsia="仿宋" w:cs="仿宋"/>
          <w:b/>
          <w:sz w:val="32"/>
          <w:szCs w:val="32"/>
        </w:rPr>
        <w:t>部分</w:t>
      </w:r>
      <w:r>
        <w:rPr>
          <w:rFonts w:hint="eastAsia" w:ascii="仿宋" w:hAnsi="仿宋" w:eastAsia="仿宋" w:cs="仿宋"/>
          <w:b/>
          <w:sz w:val="32"/>
          <w:szCs w:val="32"/>
          <w:lang w:val="en-US" w:eastAsia="zh-CN"/>
        </w:rPr>
        <w:t>整体绩效目标</w:t>
      </w:r>
    </w:p>
    <w:p>
      <w:pPr>
        <w:ind w:firstLine="640" w:firstLineChars="200"/>
        <w:rPr>
          <w:rFonts w:hint="eastAsia" w:ascii="仿宋" w:hAnsi="仿宋" w:eastAsia="仿宋" w:cs="仿宋"/>
          <w:color w:val="auto"/>
          <w:sz w:val="32"/>
          <w:szCs w:val="32"/>
        </w:rPr>
      </w:pPr>
      <w:bookmarkStart w:id="0" w:name="_Toc471398463"/>
      <w:r>
        <w:rPr>
          <w:rFonts w:hint="eastAsia" w:ascii="仿宋" w:hAnsi="仿宋" w:eastAsia="仿宋" w:cs="仿宋"/>
          <w:color w:val="auto"/>
          <w:sz w:val="32"/>
          <w:szCs w:val="32"/>
        </w:rPr>
        <w:t>（一）总体绩效目标</w:t>
      </w:r>
    </w:p>
    <w:p>
      <w:pPr>
        <w:pStyle w:val="10"/>
        <w:keepNext w:val="0"/>
        <w:keepLines w:val="0"/>
        <w:widowControl/>
        <w:suppressLineNumbers w:val="0"/>
        <w:spacing w:before="0" w:beforeAutospacing="0" w:after="0" w:afterAutospacing="0" w:line="600" w:lineRule="exact"/>
        <w:ind w:left="226" w:right="0" w:firstLine="640" w:firstLineChars="200"/>
        <w:rPr>
          <w:rFonts w:hint="eastAsia" w:ascii="仿宋" w:hAnsi="仿宋" w:eastAsia="仿宋" w:cs="仿宋"/>
          <w:kern w:val="2"/>
          <w:sz w:val="32"/>
          <w:szCs w:val="32"/>
          <w:lang w:val="en-US" w:eastAsia="zh-CN" w:bidi="ar-SA"/>
        </w:rPr>
      </w:pPr>
      <w:bookmarkStart w:id="1" w:name="_Toc64110028"/>
      <w:bookmarkStart w:id="2" w:name="_Toc60391233"/>
      <w:bookmarkStart w:id="3" w:name="_Toc64110071"/>
      <w:r>
        <w:rPr>
          <w:rFonts w:hint="eastAsia" w:ascii="仿宋" w:hAnsi="仿宋" w:eastAsia="仿宋" w:cs="仿宋"/>
          <w:kern w:val="2"/>
          <w:sz w:val="32"/>
          <w:szCs w:val="32"/>
          <w:lang w:val="en-US" w:eastAsia="zh-CN" w:bidi="ar-SA"/>
        </w:rPr>
        <w:t>2021年，是建党100周年大庆之年，是“十四五”开局之年，是消防救援队伍改革转隶收官之年，县消防救援大队一定以习近平总书记授旗训词精神为指引，</w:t>
      </w:r>
      <w:r>
        <w:rPr>
          <w:rFonts w:hint="eastAsia" w:ascii="仿宋" w:hAnsi="仿宋" w:eastAsia="仿宋" w:cs="仿宋"/>
          <w:color w:val="444444"/>
          <w:sz w:val="32"/>
          <w:szCs w:val="32"/>
        </w:rPr>
        <w:t>坚持党建统领，强基铸魂</w:t>
      </w:r>
      <w:r>
        <w:rPr>
          <w:rFonts w:hint="eastAsia" w:ascii="仿宋" w:hAnsi="仿宋" w:eastAsia="仿宋" w:cs="仿宋"/>
          <w:color w:val="444444"/>
          <w:sz w:val="32"/>
          <w:szCs w:val="32"/>
          <w:lang w:eastAsia="zh-CN"/>
        </w:rPr>
        <w:t>，</w:t>
      </w:r>
      <w:r>
        <w:rPr>
          <w:rFonts w:hint="eastAsia" w:ascii="仿宋" w:hAnsi="仿宋" w:eastAsia="仿宋" w:cs="仿宋"/>
          <w:color w:val="444444"/>
          <w:sz w:val="32"/>
          <w:szCs w:val="32"/>
        </w:rPr>
        <w:t>做强思想教育，继续为基层办实事、办好事</w:t>
      </w:r>
      <w:r>
        <w:rPr>
          <w:rFonts w:hint="eastAsia" w:ascii="仿宋" w:hAnsi="仿宋" w:eastAsia="仿宋" w:cs="仿宋"/>
          <w:color w:val="444444"/>
          <w:sz w:val="32"/>
          <w:szCs w:val="32"/>
          <w:lang w:eastAsia="zh-CN"/>
        </w:rPr>
        <w:t>。</w:t>
      </w:r>
      <w:r>
        <w:rPr>
          <w:rFonts w:hint="eastAsia" w:ascii="仿宋" w:hAnsi="仿宋" w:eastAsia="仿宋" w:cs="仿宋"/>
          <w:color w:val="444444"/>
          <w:sz w:val="32"/>
          <w:szCs w:val="32"/>
        </w:rPr>
        <w:t>坚持真练实训，强能精武，</w:t>
      </w:r>
      <w:r>
        <w:rPr>
          <w:rFonts w:hint="eastAsia" w:ascii="仿宋" w:hAnsi="仿宋" w:eastAsia="仿宋" w:cs="仿宋"/>
          <w:color w:val="444444"/>
          <w:sz w:val="32"/>
          <w:szCs w:val="32"/>
          <w:lang w:val="en-US" w:eastAsia="zh-CN"/>
        </w:rPr>
        <w:t>加强区域专业救援力量，</w:t>
      </w:r>
      <w:r>
        <w:rPr>
          <w:rFonts w:hint="eastAsia" w:ascii="仿宋" w:hAnsi="仿宋" w:eastAsia="仿宋" w:cs="仿宋"/>
          <w:color w:val="444444"/>
          <w:sz w:val="32"/>
          <w:szCs w:val="32"/>
        </w:rPr>
        <w:t>提升区域快速响应能力</w:t>
      </w:r>
      <w:r>
        <w:rPr>
          <w:rFonts w:hint="eastAsia" w:ascii="仿宋" w:hAnsi="仿宋" w:eastAsia="仿宋" w:cs="仿宋"/>
          <w:color w:val="444444"/>
          <w:sz w:val="32"/>
          <w:szCs w:val="32"/>
          <w:lang w:eastAsia="zh-CN"/>
        </w:rPr>
        <w:t>。</w:t>
      </w:r>
      <w:r>
        <w:rPr>
          <w:rFonts w:hint="eastAsia" w:ascii="仿宋" w:hAnsi="仿宋" w:eastAsia="仿宋" w:cs="仿宋"/>
          <w:color w:val="444444"/>
          <w:sz w:val="32"/>
          <w:szCs w:val="32"/>
          <w:lang w:val="en-US" w:eastAsia="zh-CN"/>
        </w:rPr>
        <w:t>牢固树立“人民至上，生命至上”的理念，确保我县消防救援工作再上新台阶。</w:t>
      </w:r>
    </w:p>
    <w:p>
      <w:pPr>
        <w:pStyle w:val="3"/>
        <w:ind w:firstLine="640" w:firstLineChars="200"/>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（二）分项绩效目标</w:t>
      </w:r>
      <w:bookmarkEnd w:id="1"/>
      <w:bookmarkEnd w:id="2"/>
      <w:bookmarkEnd w:id="3"/>
    </w:p>
    <w:p>
      <w:pPr>
        <w:keepNext w:val="0"/>
        <w:keepLines w:val="0"/>
        <w:widowControl w:val="0"/>
        <w:suppressLineNumbers w:val="0"/>
        <w:spacing w:before="0" w:beforeAutospacing="0" w:after="0" w:afterAutospacing="0" w:line="500" w:lineRule="exact"/>
        <w:ind w:left="0" w:right="0" w:firstLine="640" w:firstLineChars="200"/>
        <w:jc w:val="left"/>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1、保障所属区域人民生命财产的安全。</w:t>
      </w:r>
    </w:p>
    <w:p>
      <w:pPr>
        <w:keepNext w:val="0"/>
        <w:keepLines w:val="0"/>
        <w:widowControl w:val="0"/>
        <w:suppressLineNumbers w:val="0"/>
        <w:spacing w:before="0" w:beforeAutospacing="0" w:after="0" w:afterAutospacing="0" w:line="500" w:lineRule="exact"/>
        <w:ind w:left="0" w:right="0" w:firstLine="640" w:firstLineChars="200"/>
        <w:jc w:val="left"/>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2、维护社会稳定，提高群众安全感和满意度。</w:t>
      </w:r>
    </w:p>
    <w:p>
      <w:pPr>
        <w:keepNext w:val="0"/>
        <w:keepLines w:val="0"/>
        <w:widowControl w:val="0"/>
        <w:suppressLineNumbers w:val="0"/>
        <w:spacing w:before="0" w:beforeAutospacing="0" w:after="0" w:afterAutospacing="0" w:line="500" w:lineRule="exact"/>
        <w:ind w:left="0" w:right="0" w:firstLine="640" w:firstLineChars="200"/>
        <w:jc w:val="left"/>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3、加强队伍管理，提高队伍的综合救援能力。</w:t>
      </w:r>
    </w:p>
    <w:p>
      <w:pPr>
        <w:spacing w:line="500" w:lineRule="exact"/>
        <w:ind w:firstLine="640" w:firstLineChars="200"/>
        <w:jc w:val="left"/>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4、实现全县经济社会发展稳定和谐、人民生活安全有序。</w:t>
      </w:r>
    </w:p>
    <w:p>
      <w:pPr>
        <w:autoSpaceDE w:val="0"/>
        <w:autoSpaceDN w:val="0"/>
        <w:adjustRightInd w:val="0"/>
        <w:ind w:left="198" w:firstLine="640" w:firstLineChars="200"/>
        <w:jc w:val="left"/>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2021年度各类资金整体使用管理情况总体必须规范，相关制度逐渐完善，支出符合政策文件规定。进一步加强对国家财经法律法规的学习，切实管好、用好各项资金，为我县的发展和社会和谐稳定做出积极的贡献。</w:t>
      </w:r>
    </w:p>
    <w:p>
      <w:pPr>
        <w:numPr>
          <w:ilvl w:val="0"/>
          <w:numId w:val="2"/>
        </w:numPr>
        <w:autoSpaceDE w:val="0"/>
        <w:autoSpaceDN w:val="0"/>
        <w:adjustRightInd w:val="0"/>
        <w:ind w:left="198" w:firstLine="640" w:firstLineChars="200"/>
        <w:jc w:val="left"/>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工作保障措施</w:t>
      </w:r>
    </w:p>
    <w:p>
      <w:pPr>
        <w:numPr>
          <w:ilvl w:val="0"/>
          <w:numId w:val="3"/>
        </w:numPr>
        <w:spacing w:line="500" w:lineRule="exact"/>
        <w:ind w:firstLine="640" w:firstLineChars="200"/>
        <w:jc w:val="left"/>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健全完善预算制度。根据上级全面实施绩效管理的相关规定，结合消防救援工作的实际情况。制定规范的预算流程制度，做好事前绩效评估、预算绩效目标设定、绩效运行监控等工作管理。为预算工作的正常运行打好基础。</w:t>
      </w:r>
    </w:p>
    <w:p>
      <w:pPr>
        <w:numPr>
          <w:ilvl w:val="0"/>
          <w:numId w:val="3"/>
        </w:numPr>
        <w:spacing w:line="500" w:lineRule="exact"/>
        <w:ind w:firstLine="640" w:firstLineChars="200"/>
        <w:jc w:val="left"/>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加强支出管理。一方面，编细编实预算。在编制预算过程中，人员经费和日常公用经费严格执行相关规定标准，细化到具体科目；专项经费严格实行项目库管理，将符合工作投向、编制规范的项目纳入其中，根据财力可能和项目成熟度向财政申报进入财政项目库，将项目细化到可执行程度，确保批复即可执行。二方面，优化支出结构。树立过紧日子、苦日子的管理理念，结合实际情况和财政统一要求，对三公经费和一般性支出进行压减，集中财力办大事。</w:t>
      </w:r>
    </w:p>
    <w:p>
      <w:pPr>
        <w:numPr>
          <w:ilvl w:val="0"/>
          <w:numId w:val="3"/>
        </w:numPr>
        <w:spacing w:line="500" w:lineRule="exact"/>
        <w:ind w:firstLine="640" w:firstLineChars="200"/>
        <w:jc w:val="left"/>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做好绩效自评。按财政要求，组织部门对上年度部门预算绩效开展自评，在自评过程中，对发现的问题及时整改。将评价结果与下年度预算安排相结合，调整优化支出结构，提高财政资金使用效益。</w:t>
      </w:r>
    </w:p>
    <w:p>
      <w:pPr>
        <w:rPr>
          <w:rFonts w:hint="eastAsia" w:ascii="仿宋" w:hAnsi="仿宋" w:eastAsia="仿宋" w:cs="仿宋"/>
          <w:sz w:val="52"/>
        </w:rPr>
        <w:sectPr>
          <w:headerReference r:id="rId3" w:type="default"/>
          <w:footerReference r:id="rId4" w:type="default"/>
          <w:pgSz w:w="16783" w:h="11850" w:orient="landscape"/>
          <w:pgMar w:top="1304" w:right="1985" w:bottom="1304" w:left="1134" w:header="851" w:footer="992" w:gutter="0"/>
          <w:pgNumType w:start="1"/>
          <w:cols w:space="720" w:num="1"/>
          <w:docGrid w:type="linesAndChars" w:linePitch="312" w:charSpace="0"/>
        </w:sectPr>
      </w:pPr>
    </w:p>
    <w:p>
      <w:pPr>
        <w:rPr>
          <w:rFonts w:hint="eastAsia" w:ascii="仿宋" w:hAnsi="仿宋" w:eastAsia="仿宋" w:cs="仿宋"/>
          <w:b/>
          <w:color w:val="auto"/>
          <w:sz w:val="32"/>
          <w:szCs w:val="32"/>
        </w:rPr>
      </w:pPr>
      <w:r>
        <w:rPr>
          <w:rFonts w:hint="eastAsia" w:ascii="仿宋" w:hAnsi="仿宋" w:eastAsia="仿宋" w:cs="仿宋"/>
          <w:b/>
          <w:color w:val="auto"/>
          <w:sz w:val="32"/>
          <w:szCs w:val="32"/>
        </w:rPr>
        <w:t>第二部分：预算项目绩效目标：</w:t>
      </w:r>
    </w:p>
    <w:p>
      <w:pPr>
        <w:keepNext w:val="0"/>
        <w:keepLines w:val="0"/>
        <w:widowControl w:val="0"/>
        <w:numPr>
          <w:ilvl w:val="0"/>
          <w:numId w:val="4"/>
        </w:numPr>
        <w:suppressLineNumbers w:val="0"/>
        <w:spacing w:before="0" w:beforeAutospacing="0" w:after="0" w:afterAutospacing="0"/>
        <w:ind w:left="0" w:right="0" w:firstLine="0"/>
        <w:jc w:val="both"/>
        <w:rPr>
          <w:rFonts w:hint="eastAsia" w:ascii="仿宋" w:hAnsi="仿宋" w:eastAsia="仿宋" w:cs="仿宋"/>
          <w:b/>
          <w:bCs w:val="0"/>
          <w:sz w:val="32"/>
          <w:szCs w:val="32"/>
          <w:lang w:val="en-US"/>
        </w:rPr>
      </w:pPr>
      <w:r>
        <w:rPr>
          <w:rFonts w:hint="eastAsia" w:ascii="仿宋" w:hAnsi="仿宋" w:eastAsia="仿宋" w:cs="仿宋"/>
          <w:b/>
          <w:bCs w:val="0"/>
          <w:kern w:val="2"/>
          <w:sz w:val="32"/>
          <w:szCs w:val="32"/>
          <w:lang w:val="en-US" w:eastAsia="zh-CN" w:bidi="ar"/>
        </w:rPr>
        <w:t>莲子镇消防站配套设施购置</w:t>
      </w:r>
    </w:p>
    <w:tbl>
      <w:tblPr>
        <w:tblStyle w:val="11"/>
        <w:tblpPr w:leftFromText="180" w:rightFromText="180" w:vertAnchor="text" w:horzAnchor="page" w:tblpX="3761" w:tblpY="351"/>
        <w:tblOverlap w:val="never"/>
        <w:tblW w:w="9675" w:type="dxa"/>
        <w:tblInd w:w="0" w:type="dxa"/>
        <w:tblLayout w:type="fixed"/>
        <w:tblCellMar>
          <w:top w:w="0" w:type="dxa"/>
          <w:left w:w="0" w:type="dxa"/>
          <w:bottom w:w="0" w:type="dxa"/>
          <w:right w:w="0" w:type="dxa"/>
        </w:tblCellMar>
      </w:tblPr>
      <w:tblGrid>
        <w:gridCol w:w="1495"/>
        <w:gridCol w:w="1020"/>
        <w:gridCol w:w="1475"/>
        <w:gridCol w:w="1980"/>
        <w:gridCol w:w="630"/>
        <w:gridCol w:w="645"/>
        <w:gridCol w:w="2430"/>
      </w:tblGrid>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项目编码</w:t>
            </w:r>
          </w:p>
        </w:tc>
        <w:tc>
          <w:tcPr>
            <w:tcW w:w="447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color w:val="000000"/>
                <w:sz w:val="18"/>
                <w:szCs w:val="18"/>
                <w:lang w:val="en-US"/>
              </w:rPr>
            </w:pPr>
            <w:r>
              <w:rPr>
                <w:rFonts w:hint="eastAsia" w:ascii="仿宋" w:hAnsi="仿宋" w:eastAsia="仿宋" w:cs="仿宋"/>
                <w:color w:val="000000"/>
                <w:sz w:val="24"/>
                <w:szCs w:val="24"/>
                <w:lang w:val="en-US"/>
              </w:rPr>
              <w:t>13052521BD61BU0YLSBGV</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color w:val="000000"/>
                <w:sz w:val="18"/>
                <w:szCs w:val="18"/>
                <w:lang w:val="en-US"/>
              </w:rPr>
            </w:pPr>
            <w:r>
              <w:rPr>
                <w:rFonts w:hint="eastAsia" w:ascii="仿宋" w:hAnsi="仿宋" w:eastAsia="仿宋" w:cs="仿宋"/>
                <w:color w:val="000000"/>
                <w:kern w:val="0"/>
                <w:sz w:val="24"/>
                <w:szCs w:val="24"/>
                <w:lang w:val="en-US" w:eastAsia="zh-CN"/>
              </w:rPr>
              <w:t>土地出让金/莲子镇消防站配套设施购置</w:t>
            </w:r>
          </w:p>
        </w:tc>
      </w:tr>
      <w:tr>
        <w:tblPrEx>
          <w:tblCellMar>
            <w:top w:w="0" w:type="dxa"/>
            <w:left w:w="0" w:type="dxa"/>
            <w:bottom w:w="0" w:type="dxa"/>
            <w:right w:w="0" w:type="dxa"/>
          </w:tblCellMar>
        </w:tblPrEx>
        <w:trPr>
          <w:trHeight w:val="420" w:hRule="atLeast"/>
        </w:trPr>
        <w:tc>
          <w:tcPr>
            <w:tcW w:w="597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项目绩效模板</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both"/>
              <w:rPr>
                <w:rFonts w:hint="eastAsia" w:ascii="宋体" w:hAnsi="宋体" w:eastAsia="宋体" w:cs="宋体"/>
                <w:color w:val="000000"/>
                <w:sz w:val="18"/>
                <w:szCs w:val="18"/>
                <w:lang w:val="en-US"/>
              </w:rPr>
            </w:pPr>
          </w:p>
        </w:tc>
      </w:tr>
      <w:tr>
        <w:tblPrEx>
          <w:tblCellMar>
            <w:top w:w="0" w:type="dxa"/>
            <w:left w:w="0" w:type="dxa"/>
            <w:bottom w:w="0" w:type="dxa"/>
            <w:right w:w="0" w:type="dxa"/>
          </w:tblCellMar>
        </w:tblPrEx>
        <w:trPr>
          <w:trHeight w:val="88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资金用途</w:t>
            </w:r>
          </w:p>
        </w:tc>
        <w:tc>
          <w:tcPr>
            <w:tcW w:w="818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color w:val="000000"/>
                <w:sz w:val="18"/>
                <w:szCs w:val="18"/>
                <w:lang w:val="en-US" w:eastAsia="zh-CN"/>
              </w:rPr>
            </w:pPr>
            <w:r>
              <w:rPr>
                <w:rFonts w:hint="eastAsia" w:ascii="仿宋" w:hAnsi="仿宋" w:eastAsia="仿宋" w:cs="仿宋"/>
                <w:color w:val="000000"/>
                <w:sz w:val="24"/>
                <w:szCs w:val="24"/>
                <w:lang w:val="en-US" w:eastAsia="zh-CN"/>
              </w:rPr>
              <w:t>用于新建一级消防站项目办公设备、家具购买、电器、厨房等设施购置。</w:t>
            </w:r>
          </w:p>
        </w:tc>
      </w:tr>
      <w:tr>
        <w:tblPrEx>
          <w:tblCellMar>
            <w:top w:w="0" w:type="dxa"/>
            <w:left w:w="0" w:type="dxa"/>
            <w:bottom w:w="0" w:type="dxa"/>
            <w:right w:w="0" w:type="dxa"/>
          </w:tblCellMar>
        </w:tblPrEx>
        <w:trPr>
          <w:trHeight w:val="44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资金支出计划</w:t>
            </w: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3</w:t>
            </w:r>
            <w:r>
              <w:rPr>
                <w:rFonts w:hint="eastAsia" w:ascii="仿宋" w:hAnsi="仿宋" w:eastAsia="仿宋" w:cs="仿宋"/>
                <w:b/>
                <w:bCs w:val="0"/>
                <w:color w:val="000000"/>
                <w:kern w:val="0"/>
                <w:sz w:val="24"/>
                <w:szCs w:val="24"/>
              </w:rPr>
              <w:t>月底</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6</w:t>
            </w:r>
            <w:r>
              <w:rPr>
                <w:rFonts w:hint="eastAsia" w:ascii="仿宋" w:hAnsi="仿宋" w:eastAsia="仿宋" w:cs="仿宋"/>
                <w:b/>
                <w:bCs w:val="0"/>
                <w:color w:val="000000"/>
                <w:kern w:val="0"/>
                <w:sz w:val="24"/>
                <w:szCs w:val="24"/>
              </w:rPr>
              <w:t>月底</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10</w:t>
            </w:r>
            <w:r>
              <w:rPr>
                <w:rFonts w:hint="eastAsia" w:ascii="仿宋" w:hAnsi="仿宋" w:eastAsia="仿宋" w:cs="仿宋"/>
                <w:b/>
                <w:bCs w:val="0"/>
                <w:color w:val="000000"/>
                <w:kern w:val="0"/>
                <w:sz w:val="24"/>
                <w:szCs w:val="24"/>
              </w:rPr>
              <w:t>月底</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12</w:t>
            </w:r>
            <w:r>
              <w:rPr>
                <w:rFonts w:hint="eastAsia" w:ascii="仿宋" w:hAnsi="仿宋" w:eastAsia="仿宋" w:cs="仿宋"/>
                <w:b/>
                <w:bCs w:val="0"/>
                <w:color w:val="000000"/>
                <w:kern w:val="0"/>
                <w:sz w:val="24"/>
                <w:szCs w:val="24"/>
              </w:rPr>
              <w:t>月底</w:t>
            </w:r>
          </w:p>
        </w:tc>
      </w:tr>
      <w:tr>
        <w:tblPrEx>
          <w:tblCellMar>
            <w:top w:w="0" w:type="dxa"/>
            <w:left w:w="0" w:type="dxa"/>
            <w:bottom w:w="0" w:type="dxa"/>
            <w:right w:w="0" w:type="dxa"/>
          </w:tblCellMar>
        </w:tblPrEx>
        <w:trPr>
          <w:trHeight w:val="44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100</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绩效目标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目标1</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保障基础设施完好有效</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目标2</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项目正常执勤备战</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目标3</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营造良好的生活工作学习环境</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一级指标</w:t>
            </w:r>
          </w:p>
        </w:tc>
        <w:tc>
          <w:tcPr>
            <w:tcW w:w="102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二级指标</w:t>
            </w:r>
          </w:p>
        </w:tc>
        <w:tc>
          <w:tcPr>
            <w:tcW w:w="147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绩效指标描述（指标内容）</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指标值</w:t>
            </w:r>
          </w:p>
        </w:tc>
        <w:tc>
          <w:tcPr>
            <w:tcW w:w="243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指标确定依据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47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98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符号</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值</w:t>
            </w:r>
          </w:p>
        </w:tc>
        <w:tc>
          <w:tcPr>
            <w:tcW w:w="243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r>
      <w:tr>
        <w:tblPrEx>
          <w:tblCellMar>
            <w:top w:w="0" w:type="dxa"/>
            <w:left w:w="0" w:type="dxa"/>
            <w:bottom w:w="0" w:type="dxa"/>
            <w:right w:w="0" w:type="dxa"/>
          </w:tblCellMar>
        </w:tblPrEx>
        <w:trPr>
          <w:trHeight w:val="7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产出指标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数量指标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设施到位率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良好的工作环境</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消防站建设标准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质量指标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设施到位率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设施到位情况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消防站建设标准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时效指标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完成率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按时完成</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消防站建设标准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成本指标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设施齐全率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设施全部到位</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消防站建设标准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效益指标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可持续影响指标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执勤率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良好的执勤备战环境</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消防站建设标准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满意度指标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服务对象满意度</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群众满意度总比</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消防站建设标准</w:t>
            </w:r>
          </w:p>
        </w:tc>
      </w:tr>
    </w:tbl>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Times New Roman" w:hAnsi="Times New Roman" w:eastAsia="方正仿宋_GBK"/>
          <w:b/>
          <w:color w:val="FF0000"/>
          <w:sz w:val="32"/>
          <w:szCs w:val="32"/>
        </w:rPr>
      </w:pPr>
    </w:p>
    <w:p>
      <w:pPr>
        <w:bidi w:val="0"/>
        <w:rPr>
          <w:rFonts w:hint="eastAsia" w:ascii="Calibri" w:hAnsi="Calibri" w:eastAsia="宋体" w:cs="Times New Roman"/>
          <w:kern w:val="2"/>
          <w:sz w:val="21"/>
          <w:szCs w:val="22"/>
          <w:lang w:val="en-US" w:eastAsia="zh-CN" w:bidi="ar-SA"/>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tabs>
          <w:tab w:val="left" w:pos="12476"/>
        </w:tabs>
        <w:bidi w:val="0"/>
        <w:jc w:val="left"/>
        <w:rPr>
          <w:rFonts w:hint="eastAsia"/>
          <w:lang w:val="en-US" w:eastAsia="zh-CN"/>
        </w:rPr>
      </w:pPr>
      <w:r>
        <w:rPr>
          <w:rFonts w:hint="eastAsia"/>
          <w:lang w:val="en-US" w:eastAsia="zh-CN"/>
        </w:rPr>
        <w:tab/>
      </w:r>
    </w:p>
    <w:p>
      <w:pPr>
        <w:tabs>
          <w:tab w:val="left" w:pos="12476"/>
        </w:tabs>
        <w:bidi w:val="0"/>
        <w:jc w:val="left"/>
        <w:rPr>
          <w:rFonts w:hint="eastAsia"/>
          <w:lang w:val="en-US" w:eastAsia="zh-CN"/>
        </w:rPr>
      </w:pPr>
    </w:p>
    <w:p>
      <w:pPr>
        <w:tabs>
          <w:tab w:val="left" w:pos="12476"/>
        </w:tabs>
        <w:bidi w:val="0"/>
        <w:jc w:val="left"/>
        <w:rPr>
          <w:rFonts w:hint="eastAsia"/>
          <w:lang w:val="en-US" w:eastAsia="zh-CN"/>
        </w:rPr>
      </w:pPr>
    </w:p>
    <w:p>
      <w:pPr>
        <w:tabs>
          <w:tab w:val="left" w:pos="12476"/>
        </w:tabs>
        <w:bidi w:val="0"/>
        <w:jc w:val="left"/>
        <w:rPr>
          <w:rFonts w:hint="eastAsia" w:ascii="仿宋" w:hAnsi="仿宋" w:eastAsia="仿宋" w:cs="仿宋"/>
          <w:lang w:val="en-US" w:eastAsia="zh-CN"/>
        </w:rPr>
      </w:pPr>
      <w:r>
        <w:rPr>
          <w:rFonts w:hint="eastAsia" w:ascii="仿宋" w:hAnsi="仿宋" w:eastAsia="仿宋" w:cs="仿宋"/>
          <w:b/>
          <w:bCs w:val="0"/>
          <w:kern w:val="2"/>
          <w:sz w:val="32"/>
          <w:szCs w:val="32"/>
          <w:lang w:val="en-US" w:eastAsia="zh-CN" w:bidi="ar"/>
        </w:rPr>
        <w:t>2、地震救援模拟训练基地建设</w:t>
      </w:r>
    </w:p>
    <w:tbl>
      <w:tblPr>
        <w:tblStyle w:val="11"/>
        <w:tblpPr w:leftFromText="180" w:rightFromText="180" w:vertAnchor="text" w:horzAnchor="page" w:tblpX="3761" w:tblpY="351"/>
        <w:tblOverlap w:val="never"/>
        <w:tblW w:w="9675" w:type="dxa"/>
        <w:tblInd w:w="0" w:type="dxa"/>
        <w:tblLayout w:type="fixed"/>
        <w:tblCellMar>
          <w:top w:w="0" w:type="dxa"/>
          <w:left w:w="0" w:type="dxa"/>
          <w:bottom w:w="0" w:type="dxa"/>
          <w:right w:w="0" w:type="dxa"/>
        </w:tblCellMar>
      </w:tblPr>
      <w:tblGrid>
        <w:gridCol w:w="1495"/>
        <w:gridCol w:w="1020"/>
        <w:gridCol w:w="1475"/>
        <w:gridCol w:w="1980"/>
        <w:gridCol w:w="630"/>
        <w:gridCol w:w="645"/>
        <w:gridCol w:w="2430"/>
      </w:tblGrid>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项目编码</w:t>
            </w:r>
          </w:p>
        </w:tc>
        <w:tc>
          <w:tcPr>
            <w:tcW w:w="447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13052521WUOZWDK7HAXQY</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土地出让金/地震救援模拟训练基地建设</w:t>
            </w:r>
          </w:p>
        </w:tc>
      </w:tr>
      <w:tr>
        <w:tblPrEx>
          <w:tblCellMar>
            <w:top w:w="0" w:type="dxa"/>
            <w:left w:w="0" w:type="dxa"/>
            <w:bottom w:w="0" w:type="dxa"/>
            <w:right w:w="0" w:type="dxa"/>
          </w:tblCellMar>
        </w:tblPrEx>
        <w:trPr>
          <w:trHeight w:val="420" w:hRule="atLeast"/>
        </w:trPr>
        <w:tc>
          <w:tcPr>
            <w:tcW w:w="597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项目绩效模板</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both"/>
              <w:rPr>
                <w:rFonts w:hint="eastAsia" w:ascii="宋体" w:hAnsi="宋体" w:eastAsia="宋体" w:cs="宋体"/>
                <w:color w:val="000000"/>
                <w:sz w:val="18"/>
                <w:szCs w:val="18"/>
                <w:lang w:val="en-US"/>
              </w:rPr>
            </w:pPr>
          </w:p>
        </w:tc>
      </w:tr>
      <w:tr>
        <w:tblPrEx>
          <w:tblCellMar>
            <w:top w:w="0" w:type="dxa"/>
            <w:left w:w="0" w:type="dxa"/>
            <w:bottom w:w="0" w:type="dxa"/>
            <w:right w:w="0" w:type="dxa"/>
          </w:tblCellMar>
        </w:tblPrEx>
        <w:trPr>
          <w:trHeight w:val="88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资金用途</w:t>
            </w:r>
          </w:p>
        </w:tc>
        <w:tc>
          <w:tcPr>
            <w:tcW w:w="818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color w:val="000000"/>
                <w:sz w:val="18"/>
                <w:szCs w:val="18"/>
                <w:lang w:val="en-US" w:eastAsia="zh-CN"/>
              </w:rPr>
            </w:pPr>
            <w:r>
              <w:rPr>
                <w:rFonts w:hint="eastAsia" w:ascii="仿宋" w:hAnsi="仿宋" w:eastAsia="仿宋" w:cs="仿宋"/>
                <w:color w:val="000000"/>
                <w:sz w:val="24"/>
                <w:szCs w:val="24"/>
                <w:lang w:val="en-US" w:eastAsia="zh-CN"/>
              </w:rPr>
              <w:t>用于新消防站地震救援模拟训练基地的建设</w:t>
            </w:r>
          </w:p>
        </w:tc>
      </w:tr>
      <w:tr>
        <w:tblPrEx>
          <w:tblCellMar>
            <w:top w:w="0" w:type="dxa"/>
            <w:left w:w="0" w:type="dxa"/>
            <w:bottom w:w="0" w:type="dxa"/>
            <w:right w:w="0" w:type="dxa"/>
          </w:tblCellMar>
        </w:tblPrEx>
        <w:trPr>
          <w:trHeight w:val="44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资金支出计划</w:t>
            </w: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3</w:t>
            </w:r>
            <w:r>
              <w:rPr>
                <w:rFonts w:hint="eastAsia" w:ascii="仿宋" w:hAnsi="仿宋" w:eastAsia="仿宋" w:cs="仿宋"/>
                <w:b/>
                <w:bCs w:val="0"/>
                <w:color w:val="000000"/>
                <w:kern w:val="0"/>
                <w:sz w:val="24"/>
                <w:szCs w:val="24"/>
              </w:rPr>
              <w:t>月底</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6</w:t>
            </w:r>
            <w:r>
              <w:rPr>
                <w:rFonts w:hint="eastAsia" w:ascii="仿宋" w:hAnsi="仿宋" w:eastAsia="仿宋" w:cs="仿宋"/>
                <w:b/>
                <w:bCs w:val="0"/>
                <w:color w:val="000000"/>
                <w:kern w:val="0"/>
                <w:sz w:val="24"/>
                <w:szCs w:val="24"/>
              </w:rPr>
              <w:t>月底</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10</w:t>
            </w:r>
            <w:r>
              <w:rPr>
                <w:rFonts w:hint="eastAsia" w:ascii="仿宋" w:hAnsi="仿宋" w:eastAsia="仿宋" w:cs="仿宋"/>
                <w:b/>
                <w:bCs w:val="0"/>
                <w:color w:val="000000"/>
                <w:kern w:val="0"/>
                <w:sz w:val="24"/>
                <w:szCs w:val="24"/>
              </w:rPr>
              <w:t>月底</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12</w:t>
            </w:r>
            <w:r>
              <w:rPr>
                <w:rFonts w:hint="eastAsia" w:ascii="仿宋" w:hAnsi="仿宋" w:eastAsia="仿宋" w:cs="仿宋"/>
                <w:b/>
                <w:bCs w:val="0"/>
                <w:color w:val="000000"/>
                <w:kern w:val="0"/>
                <w:sz w:val="24"/>
                <w:szCs w:val="24"/>
              </w:rPr>
              <w:t>月底</w:t>
            </w:r>
          </w:p>
        </w:tc>
      </w:tr>
      <w:tr>
        <w:tblPrEx>
          <w:tblCellMar>
            <w:top w:w="0" w:type="dxa"/>
            <w:left w:w="0" w:type="dxa"/>
            <w:bottom w:w="0" w:type="dxa"/>
            <w:right w:w="0" w:type="dxa"/>
          </w:tblCellMar>
        </w:tblPrEx>
        <w:trPr>
          <w:trHeight w:val="44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00</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100</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绩效目标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目标1</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提高消防指战员灾害事故救援能力及心理训练</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目标2</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掌握灾害的特点及预防、救援方法</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目标3</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一级指标</w:t>
            </w:r>
          </w:p>
        </w:tc>
        <w:tc>
          <w:tcPr>
            <w:tcW w:w="102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二级指标</w:t>
            </w:r>
          </w:p>
        </w:tc>
        <w:tc>
          <w:tcPr>
            <w:tcW w:w="147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绩效指标描述（指标内容）</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指标值</w:t>
            </w:r>
          </w:p>
        </w:tc>
        <w:tc>
          <w:tcPr>
            <w:tcW w:w="243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指标确定依据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47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98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符号</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值</w:t>
            </w:r>
          </w:p>
        </w:tc>
        <w:tc>
          <w:tcPr>
            <w:tcW w:w="243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r>
      <w:tr>
        <w:tblPrEx>
          <w:tblCellMar>
            <w:top w:w="0" w:type="dxa"/>
            <w:left w:w="0" w:type="dxa"/>
            <w:bottom w:w="0" w:type="dxa"/>
            <w:right w:w="0" w:type="dxa"/>
          </w:tblCellMar>
        </w:tblPrEx>
        <w:trPr>
          <w:trHeight w:val="7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产出指标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数量指标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完成率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训练基地的完成情况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训练基地建设标准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质量指标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达标率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质量达到建设标准</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训练基地建设标准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时效指标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完成率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训练基地的完成情况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训练基地建设标准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成本指标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项目实际成本</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项目实际成本</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训练基地建设标准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效益指标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社会效益指标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队员应急处置率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掌握灾害特点</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训练基地建设标准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满意度指标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服务对象满意度指标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群众的满意情况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训练基地建设标准</w:t>
            </w:r>
          </w:p>
        </w:tc>
      </w:tr>
    </w:tbl>
    <w:p>
      <w:pPr>
        <w:tabs>
          <w:tab w:val="left" w:pos="12476"/>
        </w:tabs>
        <w:bidi w:val="0"/>
        <w:jc w:val="left"/>
        <w:rPr>
          <w:rFonts w:hint="eastAsia"/>
          <w:lang w:val="en-US" w:eastAsia="zh-CN"/>
        </w:rPr>
      </w:pPr>
    </w:p>
    <w:p>
      <w:pPr>
        <w:pStyle w:val="3"/>
        <w:rPr>
          <w:rFonts w:ascii="Times New Roman" w:hAnsi="Times New Roman" w:eastAsia="方正仿宋_GBK"/>
        </w:rPr>
      </w:pPr>
    </w:p>
    <w:p>
      <w:pPr>
        <w:pStyle w:val="3"/>
        <w:rPr>
          <w:rFonts w:ascii="Times New Roman" w:hAnsi="Times New Roman" w:eastAsia="方正仿宋_GBK"/>
        </w:rPr>
      </w:pPr>
    </w:p>
    <w:p>
      <w:pPr>
        <w:pStyle w:val="3"/>
        <w:rPr>
          <w:rFonts w:ascii="Times New Roman" w:hAnsi="Times New Roman" w:eastAsia="方正仿宋_GBK"/>
        </w:rPr>
      </w:pPr>
    </w:p>
    <w:p>
      <w:pPr>
        <w:pStyle w:val="3"/>
        <w:rPr>
          <w:rFonts w:ascii="Times New Roman" w:hAnsi="Times New Roman" w:eastAsia="方正仿宋_GBK"/>
        </w:rPr>
      </w:pPr>
    </w:p>
    <w:p>
      <w:pPr>
        <w:pStyle w:val="3"/>
        <w:rPr>
          <w:rFonts w:ascii="Times New Roman" w:hAnsi="Times New Roman" w:eastAsia="方正仿宋_GBK"/>
        </w:rPr>
      </w:pPr>
    </w:p>
    <w:p>
      <w:pPr>
        <w:pStyle w:val="3"/>
        <w:rPr>
          <w:rFonts w:ascii="Times New Roman" w:hAnsi="Times New Roman" w:eastAsia="方正仿宋_GBK"/>
        </w:rPr>
      </w:pPr>
    </w:p>
    <w:p/>
    <w:p>
      <w:pPr>
        <w:numPr>
          <w:ilvl w:val="0"/>
          <w:numId w:val="0"/>
        </w:numPr>
        <w:tabs>
          <w:tab w:val="left" w:pos="12476"/>
        </w:tabs>
        <w:bidi w:val="0"/>
        <w:ind w:leftChars="0"/>
        <w:jc w:val="left"/>
        <w:rPr>
          <w:rFonts w:hint="default" w:ascii="仿宋" w:hAnsi="仿宋" w:eastAsia="仿宋" w:cs="仿宋"/>
          <w:b/>
          <w:bCs w:val="0"/>
          <w:kern w:val="2"/>
          <w:sz w:val="32"/>
          <w:szCs w:val="32"/>
          <w:lang w:val="en-US" w:eastAsia="zh-CN" w:bidi="ar"/>
        </w:rPr>
      </w:pPr>
      <w:r>
        <w:rPr>
          <w:rFonts w:hint="eastAsia" w:ascii="仿宋" w:hAnsi="仿宋" w:eastAsia="仿宋" w:cs="仿宋"/>
          <w:b/>
          <w:bCs w:val="0"/>
          <w:kern w:val="2"/>
          <w:sz w:val="32"/>
          <w:szCs w:val="32"/>
          <w:lang w:val="en-US" w:eastAsia="zh-CN" w:bidi="ar"/>
        </w:rPr>
        <w:t>3、灭火救援器材设备购置</w:t>
      </w:r>
    </w:p>
    <w:tbl>
      <w:tblPr>
        <w:tblStyle w:val="11"/>
        <w:tblpPr w:leftFromText="180" w:rightFromText="180" w:vertAnchor="text" w:horzAnchor="page" w:tblpX="3761" w:tblpY="351"/>
        <w:tblOverlap w:val="never"/>
        <w:tblW w:w="9675" w:type="dxa"/>
        <w:tblInd w:w="0" w:type="dxa"/>
        <w:tblLayout w:type="fixed"/>
        <w:tblCellMar>
          <w:top w:w="0" w:type="dxa"/>
          <w:left w:w="0" w:type="dxa"/>
          <w:bottom w:w="0" w:type="dxa"/>
          <w:right w:w="0" w:type="dxa"/>
        </w:tblCellMar>
      </w:tblPr>
      <w:tblGrid>
        <w:gridCol w:w="1495"/>
        <w:gridCol w:w="1020"/>
        <w:gridCol w:w="1475"/>
        <w:gridCol w:w="1980"/>
        <w:gridCol w:w="630"/>
        <w:gridCol w:w="645"/>
        <w:gridCol w:w="2430"/>
      </w:tblGrid>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项目编码</w:t>
            </w:r>
          </w:p>
        </w:tc>
        <w:tc>
          <w:tcPr>
            <w:tcW w:w="447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130525218LQD9GUS2EW4N</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土地出让金/灭火救援器材设备购置</w:t>
            </w:r>
          </w:p>
        </w:tc>
      </w:tr>
      <w:tr>
        <w:tblPrEx>
          <w:tblCellMar>
            <w:top w:w="0" w:type="dxa"/>
            <w:left w:w="0" w:type="dxa"/>
            <w:bottom w:w="0" w:type="dxa"/>
            <w:right w:w="0" w:type="dxa"/>
          </w:tblCellMar>
        </w:tblPrEx>
        <w:trPr>
          <w:trHeight w:val="420" w:hRule="atLeast"/>
        </w:trPr>
        <w:tc>
          <w:tcPr>
            <w:tcW w:w="597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项目绩效模板</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both"/>
              <w:rPr>
                <w:rFonts w:hint="eastAsia" w:ascii="宋体" w:hAnsi="宋体" w:eastAsia="宋体" w:cs="宋体"/>
                <w:color w:val="000000"/>
                <w:sz w:val="18"/>
                <w:szCs w:val="18"/>
                <w:lang w:val="en-US"/>
              </w:rPr>
            </w:pPr>
          </w:p>
        </w:tc>
      </w:tr>
      <w:tr>
        <w:tblPrEx>
          <w:tblCellMar>
            <w:top w:w="0" w:type="dxa"/>
            <w:left w:w="0" w:type="dxa"/>
            <w:bottom w:w="0" w:type="dxa"/>
            <w:right w:w="0" w:type="dxa"/>
          </w:tblCellMar>
        </w:tblPrEx>
        <w:trPr>
          <w:trHeight w:val="88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资金用途</w:t>
            </w:r>
          </w:p>
        </w:tc>
        <w:tc>
          <w:tcPr>
            <w:tcW w:w="818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color w:val="000000"/>
                <w:sz w:val="18"/>
                <w:szCs w:val="18"/>
                <w:lang w:val="en-US" w:eastAsia="zh-CN"/>
              </w:rPr>
            </w:pPr>
            <w:r>
              <w:rPr>
                <w:rFonts w:hint="eastAsia" w:ascii="仿宋" w:hAnsi="仿宋" w:eastAsia="仿宋" w:cs="仿宋"/>
                <w:color w:val="000000"/>
                <w:kern w:val="0"/>
                <w:sz w:val="24"/>
                <w:szCs w:val="24"/>
                <w:lang w:val="en-US" w:eastAsia="zh-CN"/>
              </w:rPr>
              <w:t>保障消防员在执勤战斗中的各项安全措施，增强队伍灭火救援力量</w:t>
            </w:r>
          </w:p>
        </w:tc>
      </w:tr>
      <w:tr>
        <w:tblPrEx>
          <w:tblCellMar>
            <w:top w:w="0" w:type="dxa"/>
            <w:left w:w="0" w:type="dxa"/>
            <w:bottom w:w="0" w:type="dxa"/>
            <w:right w:w="0" w:type="dxa"/>
          </w:tblCellMar>
        </w:tblPrEx>
        <w:trPr>
          <w:trHeight w:val="44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资金支出计划</w:t>
            </w: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3</w:t>
            </w:r>
            <w:r>
              <w:rPr>
                <w:rFonts w:hint="eastAsia" w:ascii="仿宋" w:hAnsi="仿宋" w:eastAsia="仿宋" w:cs="仿宋"/>
                <w:b/>
                <w:bCs w:val="0"/>
                <w:color w:val="000000"/>
                <w:kern w:val="0"/>
                <w:sz w:val="24"/>
                <w:szCs w:val="24"/>
              </w:rPr>
              <w:t>月底</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6</w:t>
            </w:r>
            <w:r>
              <w:rPr>
                <w:rFonts w:hint="eastAsia" w:ascii="仿宋" w:hAnsi="仿宋" w:eastAsia="仿宋" w:cs="仿宋"/>
                <w:b/>
                <w:bCs w:val="0"/>
                <w:color w:val="000000"/>
                <w:kern w:val="0"/>
                <w:sz w:val="24"/>
                <w:szCs w:val="24"/>
              </w:rPr>
              <w:t>月底</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10</w:t>
            </w:r>
            <w:r>
              <w:rPr>
                <w:rFonts w:hint="eastAsia" w:ascii="仿宋" w:hAnsi="仿宋" w:eastAsia="仿宋" w:cs="仿宋"/>
                <w:b/>
                <w:bCs w:val="0"/>
                <w:color w:val="000000"/>
                <w:kern w:val="0"/>
                <w:sz w:val="24"/>
                <w:szCs w:val="24"/>
              </w:rPr>
              <w:t>月底</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12</w:t>
            </w:r>
            <w:r>
              <w:rPr>
                <w:rFonts w:hint="eastAsia" w:ascii="仿宋" w:hAnsi="仿宋" w:eastAsia="仿宋" w:cs="仿宋"/>
                <w:b/>
                <w:bCs w:val="0"/>
                <w:color w:val="000000"/>
                <w:kern w:val="0"/>
                <w:sz w:val="24"/>
                <w:szCs w:val="24"/>
              </w:rPr>
              <w:t>月底</w:t>
            </w:r>
          </w:p>
        </w:tc>
      </w:tr>
      <w:tr>
        <w:tblPrEx>
          <w:tblCellMar>
            <w:top w:w="0" w:type="dxa"/>
            <w:left w:w="0" w:type="dxa"/>
            <w:bottom w:w="0" w:type="dxa"/>
            <w:right w:w="0" w:type="dxa"/>
          </w:tblCellMar>
        </w:tblPrEx>
        <w:trPr>
          <w:trHeight w:val="44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绩效目标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目标1</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保障消防员在执勤战斗中的安全防护</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目标2</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达到个人防护装备配备标准</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目标3</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增强队伍灭火救援能力</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一级指标</w:t>
            </w:r>
          </w:p>
        </w:tc>
        <w:tc>
          <w:tcPr>
            <w:tcW w:w="102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二级指标</w:t>
            </w:r>
          </w:p>
        </w:tc>
        <w:tc>
          <w:tcPr>
            <w:tcW w:w="147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绩效指标描述（指标内容）</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指标值</w:t>
            </w:r>
          </w:p>
        </w:tc>
        <w:tc>
          <w:tcPr>
            <w:tcW w:w="243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指标确定依据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47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98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符号</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值</w:t>
            </w:r>
          </w:p>
        </w:tc>
        <w:tc>
          <w:tcPr>
            <w:tcW w:w="243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r>
      <w:tr>
        <w:tblPrEx>
          <w:tblCellMar>
            <w:top w:w="0" w:type="dxa"/>
            <w:left w:w="0" w:type="dxa"/>
            <w:bottom w:w="0" w:type="dxa"/>
            <w:right w:w="0" w:type="dxa"/>
          </w:tblCellMar>
        </w:tblPrEx>
        <w:trPr>
          <w:trHeight w:val="7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产出指标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数量指标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到位率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达到个人防护装备配备标准</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综合性消防救援专业队伍建设方案</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质量指标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完好率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达到个人防护装备配备标准</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综合性消防救援专业队伍建设方案</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时效指标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投入使用情况</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达到个人防护装备配备标准</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综合性消防救援专业队伍建设方案</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成本指标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资金成本</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项目实际成本</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综合性消防救援专业队伍建设方案</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效益指标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可持续影响指标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执勤率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保障消防员在执勤战斗中的安全防护</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综合性消防救援专业队伍建设方案</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满意度指标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服务对象满意度指标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群众的满意总占比</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综合性消防救援专业队伍建设方案</w:t>
            </w:r>
          </w:p>
        </w:tc>
      </w:tr>
    </w:tbl>
    <w:p>
      <w:pPr>
        <w:pStyle w:val="3"/>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autoSpaceDE w:val="0"/>
        <w:autoSpaceDN w:val="0"/>
        <w:adjustRightInd w:val="0"/>
        <w:jc w:val="left"/>
        <w:rPr>
          <w:rFonts w:hint="eastAsia" w:ascii="黑体" w:hAnsi="黑体" w:eastAsia="黑体"/>
          <w:sz w:val="32"/>
          <w:szCs w:val="32"/>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r>
        <w:rPr>
          <w:rFonts w:hint="eastAsia" w:ascii="仿宋" w:hAnsi="仿宋" w:eastAsia="仿宋" w:cs="仿宋"/>
          <w:b/>
          <w:bCs/>
          <w:sz w:val="32"/>
          <w:szCs w:val="32"/>
          <w:highlight w:val="none"/>
          <w:lang w:val="en-US" w:eastAsia="zh-CN"/>
        </w:rPr>
        <w:t>4、</w:t>
      </w:r>
      <w:r>
        <w:rPr>
          <w:rFonts w:hint="eastAsia" w:ascii="仿宋" w:hAnsi="仿宋" w:eastAsia="仿宋" w:cs="仿宋"/>
          <w:b/>
          <w:bCs w:val="0"/>
          <w:kern w:val="2"/>
          <w:sz w:val="32"/>
          <w:szCs w:val="32"/>
          <w:lang w:val="en-US" w:eastAsia="zh-CN" w:bidi="ar"/>
        </w:rPr>
        <w:t>指挥中心建设</w:t>
      </w:r>
    </w:p>
    <w:tbl>
      <w:tblPr>
        <w:tblStyle w:val="11"/>
        <w:tblpPr w:leftFromText="180" w:rightFromText="180" w:vertAnchor="text" w:horzAnchor="page" w:tblpX="3761" w:tblpY="351"/>
        <w:tblOverlap w:val="never"/>
        <w:tblW w:w="9675" w:type="dxa"/>
        <w:tblInd w:w="0" w:type="dxa"/>
        <w:tblLayout w:type="fixed"/>
        <w:tblCellMar>
          <w:top w:w="0" w:type="dxa"/>
          <w:left w:w="0" w:type="dxa"/>
          <w:bottom w:w="0" w:type="dxa"/>
          <w:right w:w="0" w:type="dxa"/>
        </w:tblCellMar>
      </w:tblPr>
      <w:tblGrid>
        <w:gridCol w:w="1495"/>
        <w:gridCol w:w="1020"/>
        <w:gridCol w:w="1475"/>
        <w:gridCol w:w="1980"/>
        <w:gridCol w:w="630"/>
        <w:gridCol w:w="645"/>
        <w:gridCol w:w="2430"/>
      </w:tblGrid>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项目编码</w:t>
            </w:r>
          </w:p>
        </w:tc>
        <w:tc>
          <w:tcPr>
            <w:tcW w:w="447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13052521EGI2EGGR4HDPX</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指挥中心建设</w:t>
            </w:r>
          </w:p>
        </w:tc>
      </w:tr>
      <w:tr>
        <w:tblPrEx>
          <w:tblCellMar>
            <w:top w:w="0" w:type="dxa"/>
            <w:left w:w="0" w:type="dxa"/>
            <w:bottom w:w="0" w:type="dxa"/>
            <w:right w:w="0" w:type="dxa"/>
          </w:tblCellMar>
        </w:tblPrEx>
        <w:trPr>
          <w:trHeight w:val="420" w:hRule="atLeast"/>
        </w:trPr>
        <w:tc>
          <w:tcPr>
            <w:tcW w:w="597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项目绩效模板</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both"/>
              <w:rPr>
                <w:rFonts w:hint="eastAsia" w:ascii="宋体" w:hAnsi="宋体" w:eastAsia="宋体" w:cs="宋体"/>
                <w:color w:val="000000"/>
                <w:sz w:val="18"/>
                <w:szCs w:val="18"/>
                <w:lang w:val="en-US"/>
              </w:rPr>
            </w:pPr>
          </w:p>
        </w:tc>
      </w:tr>
      <w:tr>
        <w:tblPrEx>
          <w:tblCellMar>
            <w:top w:w="0" w:type="dxa"/>
            <w:left w:w="0" w:type="dxa"/>
            <w:bottom w:w="0" w:type="dxa"/>
            <w:right w:w="0" w:type="dxa"/>
          </w:tblCellMar>
        </w:tblPrEx>
        <w:trPr>
          <w:trHeight w:val="88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资金用途</w:t>
            </w:r>
          </w:p>
        </w:tc>
        <w:tc>
          <w:tcPr>
            <w:tcW w:w="818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color w:val="000000"/>
                <w:sz w:val="18"/>
                <w:szCs w:val="18"/>
                <w:lang w:val="en-US" w:eastAsia="zh-CN"/>
              </w:rPr>
            </w:pPr>
            <w:r>
              <w:rPr>
                <w:rFonts w:hint="eastAsia" w:ascii="仿宋" w:hAnsi="仿宋" w:eastAsia="仿宋" w:cs="仿宋"/>
                <w:color w:val="000000"/>
                <w:sz w:val="24"/>
                <w:szCs w:val="24"/>
                <w:lang w:val="en-US" w:eastAsia="zh-CN"/>
              </w:rPr>
              <w:t>便于接警、视频会议和视频监控灾害事故现场</w:t>
            </w:r>
          </w:p>
        </w:tc>
      </w:tr>
      <w:tr>
        <w:tblPrEx>
          <w:tblCellMar>
            <w:top w:w="0" w:type="dxa"/>
            <w:left w:w="0" w:type="dxa"/>
            <w:bottom w:w="0" w:type="dxa"/>
            <w:right w:w="0" w:type="dxa"/>
          </w:tblCellMar>
        </w:tblPrEx>
        <w:trPr>
          <w:trHeight w:val="44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资金支出计划</w:t>
            </w: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3</w:t>
            </w:r>
            <w:r>
              <w:rPr>
                <w:rFonts w:hint="eastAsia" w:ascii="仿宋" w:hAnsi="仿宋" w:eastAsia="仿宋" w:cs="仿宋"/>
                <w:b/>
                <w:bCs w:val="0"/>
                <w:color w:val="000000"/>
                <w:kern w:val="0"/>
                <w:sz w:val="24"/>
                <w:szCs w:val="24"/>
              </w:rPr>
              <w:t>月底</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6</w:t>
            </w:r>
            <w:r>
              <w:rPr>
                <w:rFonts w:hint="eastAsia" w:ascii="仿宋" w:hAnsi="仿宋" w:eastAsia="仿宋" w:cs="仿宋"/>
                <w:b/>
                <w:bCs w:val="0"/>
                <w:color w:val="000000"/>
                <w:kern w:val="0"/>
                <w:sz w:val="24"/>
                <w:szCs w:val="24"/>
              </w:rPr>
              <w:t>月底</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10</w:t>
            </w:r>
            <w:r>
              <w:rPr>
                <w:rFonts w:hint="eastAsia" w:ascii="仿宋" w:hAnsi="仿宋" w:eastAsia="仿宋" w:cs="仿宋"/>
                <w:b/>
                <w:bCs w:val="0"/>
                <w:color w:val="000000"/>
                <w:kern w:val="0"/>
                <w:sz w:val="24"/>
                <w:szCs w:val="24"/>
              </w:rPr>
              <w:t>月底</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12</w:t>
            </w:r>
            <w:r>
              <w:rPr>
                <w:rFonts w:hint="eastAsia" w:ascii="仿宋" w:hAnsi="仿宋" w:eastAsia="仿宋" w:cs="仿宋"/>
                <w:b/>
                <w:bCs w:val="0"/>
                <w:color w:val="000000"/>
                <w:kern w:val="0"/>
                <w:sz w:val="24"/>
                <w:szCs w:val="24"/>
              </w:rPr>
              <w:t>月底</w:t>
            </w:r>
          </w:p>
        </w:tc>
      </w:tr>
      <w:tr>
        <w:tblPrEx>
          <w:tblCellMar>
            <w:top w:w="0" w:type="dxa"/>
            <w:left w:w="0" w:type="dxa"/>
            <w:bottom w:w="0" w:type="dxa"/>
            <w:right w:w="0" w:type="dxa"/>
          </w:tblCellMar>
        </w:tblPrEx>
        <w:trPr>
          <w:trHeight w:val="44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100</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绩效目标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目标1</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视频会议和视频监控灾害事故现场</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目标2</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有效保障人民生命财产安全</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目标3</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便于接出警</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一级指标</w:t>
            </w:r>
          </w:p>
        </w:tc>
        <w:tc>
          <w:tcPr>
            <w:tcW w:w="102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二级指标</w:t>
            </w:r>
          </w:p>
        </w:tc>
        <w:tc>
          <w:tcPr>
            <w:tcW w:w="147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绩效指标描述（指标内容）</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指标值</w:t>
            </w:r>
          </w:p>
        </w:tc>
        <w:tc>
          <w:tcPr>
            <w:tcW w:w="243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指标确定依据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47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98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符号</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值</w:t>
            </w:r>
          </w:p>
        </w:tc>
        <w:tc>
          <w:tcPr>
            <w:tcW w:w="243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r>
      <w:tr>
        <w:tblPrEx>
          <w:tblCellMar>
            <w:top w:w="0" w:type="dxa"/>
            <w:left w:w="0" w:type="dxa"/>
            <w:bottom w:w="0" w:type="dxa"/>
            <w:right w:w="0" w:type="dxa"/>
          </w:tblCellMar>
        </w:tblPrEx>
        <w:trPr>
          <w:trHeight w:val="7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产出指标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数量指标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使用率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达到建设标准</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指挥中心建设标准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质量指标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利用率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进行连线指挥、视频监控、召开视频会议</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指挥中心建设标准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时效指标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利用率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保障莲子镇消防站正常投入使用</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指挥中心建设标准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成本指标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资金成本</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资金成本</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指挥中心建设标准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效益指标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可持续影响指标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使用率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快速有效接出警</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指挥中心建设标准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满意度指标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群众满意度总占比</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指挥中心建设标准</w:t>
            </w:r>
          </w:p>
        </w:tc>
      </w:tr>
    </w:tbl>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r>
        <w:rPr>
          <w:rFonts w:hint="eastAsia" w:ascii="仿宋" w:hAnsi="仿宋" w:eastAsia="仿宋" w:cs="仿宋"/>
          <w:b/>
          <w:bCs/>
          <w:sz w:val="32"/>
          <w:szCs w:val="32"/>
          <w:highlight w:val="none"/>
          <w:lang w:val="en-US" w:eastAsia="zh-CN"/>
        </w:rPr>
        <w:t>5、基础设施建设维护经费</w:t>
      </w:r>
    </w:p>
    <w:tbl>
      <w:tblPr>
        <w:tblStyle w:val="11"/>
        <w:tblpPr w:leftFromText="180" w:rightFromText="180" w:vertAnchor="text" w:horzAnchor="page" w:tblpX="3761" w:tblpY="351"/>
        <w:tblOverlap w:val="never"/>
        <w:tblW w:w="9675" w:type="dxa"/>
        <w:tblInd w:w="0" w:type="dxa"/>
        <w:tblLayout w:type="fixed"/>
        <w:tblCellMar>
          <w:top w:w="0" w:type="dxa"/>
          <w:left w:w="0" w:type="dxa"/>
          <w:bottom w:w="0" w:type="dxa"/>
          <w:right w:w="0" w:type="dxa"/>
        </w:tblCellMar>
      </w:tblPr>
      <w:tblGrid>
        <w:gridCol w:w="1495"/>
        <w:gridCol w:w="1020"/>
        <w:gridCol w:w="1475"/>
        <w:gridCol w:w="1980"/>
        <w:gridCol w:w="630"/>
        <w:gridCol w:w="645"/>
        <w:gridCol w:w="2430"/>
      </w:tblGrid>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项目编码</w:t>
            </w:r>
          </w:p>
        </w:tc>
        <w:tc>
          <w:tcPr>
            <w:tcW w:w="447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13052521B3HMMEU6UYN2T</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基础设施建设维护经费</w:t>
            </w:r>
          </w:p>
        </w:tc>
      </w:tr>
      <w:tr>
        <w:tblPrEx>
          <w:tblCellMar>
            <w:top w:w="0" w:type="dxa"/>
            <w:left w:w="0" w:type="dxa"/>
            <w:bottom w:w="0" w:type="dxa"/>
            <w:right w:w="0" w:type="dxa"/>
          </w:tblCellMar>
        </w:tblPrEx>
        <w:trPr>
          <w:trHeight w:val="420" w:hRule="atLeast"/>
        </w:trPr>
        <w:tc>
          <w:tcPr>
            <w:tcW w:w="597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项目绩效模板</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both"/>
              <w:rPr>
                <w:rFonts w:hint="eastAsia" w:ascii="宋体" w:hAnsi="宋体" w:eastAsia="宋体" w:cs="宋体"/>
                <w:color w:val="000000"/>
                <w:sz w:val="18"/>
                <w:szCs w:val="18"/>
                <w:lang w:val="en-US"/>
              </w:rPr>
            </w:pPr>
          </w:p>
        </w:tc>
      </w:tr>
      <w:tr>
        <w:tblPrEx>
          <w:tblCellMar>
            <w:top w:w="0" w:type="dxa"/>
            <w:left w:w="0" w:type="dxa"/>
            <w:bottom w:w="0" w:type="dxa"/>
            <w:right w:w="0" w:type="dxa"/>
          </w:tblCellMar>
        </w:tblPrEx>
        <w:trPr>
          <w:trHeight w:val="88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资金用途</w:t>
            </w:r>
          </w:p>
        </w:tc>
        <w:tc>
          <w:tcPr>
            <w:tcW w:w="818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color w:val="000000"/>
                <w:sz w:val="18"/>
                <w:szCs w:val="18"/>
                <w:lang w:val="en-US" w:eastAsia="zh-CN"/>
              </w:rPr>
            </w:pPr>
            <w:r>
              <w:rPr>
                <w:rFonts w:hint="eastAsia" w:ascii="仿宋" w:hAnsi="仿宋" w:eastAsia="仿宋" w:cs="仿宋"/>
                <w:color w:val="000000"/>
                <w:sz w:val="24"/>
                <w:szCs w:val="24"/>
                <w:lang w:val="en-US" w:eastAsia="zh-CN"/>
              </w:rPr>
              <w:t>用于基础设施建设维修</w:t>
            </w:r>
          </w:p>
        </w:tc>
      </w:tr>
      <w:tr>
        <w:tblPrEx>
          <w:tblCellMar>
            <w:top w:w="0" w:type="dxa"/>
            <w:left w:w="0" w:type="dxa"/>
            <w:bottom w:w="0" w:type="dxa"/>
            <w:right w:w="0" w:type="dxa"/>
          </w:tblCellMar>
        </w:tblPrEx>
        <w:trPr>
          <w:trHeight w:val="44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资金支出计划</w:t>
            </w: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3</w:t>
            </w:r>
            <w:r>
              <w:rPr>
                <w:rFonts w:hint="eastAsia" w:ascii="仿宋" w:hAnsi="仿宋" w:eastAsia="仿宋" w:cs="仿宋"/>
                <w:b/>
                <w:bCs w:val="0"/>
                <w:color w:val="000000"/>
                <w:kern w:val="0"/>
                <w:sz w:val="24"/>
                <w:szCs w:val="24"/>
              </w:rPr>
              <w:t>月底</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6</w:t>
            </w:r>
            <w:r>
              <w:rPr>
                <w:rFonts w:hint="eastAsia" w:ascii="仿宋" w:hAnsi="仿宋" w:eastAsia="仿宋" w:cs="仿宋"/>
                <w:b/>
                <w:bCs w:val="0"/>
                <w:color w:val="000000"/>
                <w:kern w:val="0"/>
                <w:sz w:val="24"/>
                <w:szCs w:val="24"/>
              </w:rPr>
              <w:t>月底</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10</w:t>
            </w:r>
            <w:r>
              <w:rPr>
                <w:rFonts w:hint="eastAsia" w:ascii="仿宋" w:hAnsi="仿宋" w:eastAsia="仿宋" w:cs="仿宋"/>
                <w:b/>
                <w:bCs w:val="0"/>
                <w:color w:val="000000"/>
                <w:kern w:val="0"/>
                <w:sz w:val="24"/>
                <w:szCs w:val="24"/>
              </w:rPr>
              <w:t>月底</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12</w:t>
            </w:r>
            <w:r>
              <w:rPr>
                <w:rFonts w:hint="eastAsia" w:ascii="仿宋" w:hAnsi="仿宋" w:eastAsia="仿宋" w:cs="仿宋"/>
                <w:b/>
                <w:bCs w:val="0"/>
                <w:color w:val="000000"/>
                <w:kern w:val="0"/>
                <w:sz w:val="24"/>
                <w:szCs w:val="24"/>
              </w:rPr>
              <w:t>月底</w:t>
            </w:r>
          </w:p>
        </w:tc>
      </w:tr>
      <w:tr>
        <w:tblPrEx>
          <w:tblCellMar>
            <w:top w:w="0" w:type="dxa"/>
            <w:left w:w="0" w:type="dxa"/>
            <w:bottom w:w="0" w:type="dxa"/>
            <w:right w:w="0" w:type="dxa"/>
          </w:tblCellMar>
        </w:tblPrEx>
        <w:trPr>
          <w:trHeight w:val="44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100</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绩效目标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目标1</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保障基础设施完好有效</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目标2</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接出警基础设施使用情况</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目标3</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基础设施正产运行</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一级指标</w:t>
            </w:r>
          </w:p>
        </w:tc>
        <w:tc>
          <w:tcPr>
            <w:tcW w:w="102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二级指标</w:t>
            </w:r>
          </w:p>
        </w:tc>
        <w:tc>
          <w:tcPr>
            <w:tcW w:w="147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绩效指标描述（指标内容）</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指标值</w:t>
            </w:r>
          </w:p>
        </w:tc>
        <w:tc>
          <w:tcPr>
            <w:tcW w:w="243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指标确定依据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47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98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符号</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值</w:t>
            </w:r>
          </w:p>
        </w:tc>
        <w:tc>
          <w:tcPr>
            <w:tcW w:w="243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r>
      <w:tr>
        <w:tblPrEx>
          <w:tblCellMar>
            <w:top w:w="0" w:type="dxa"/>
            <w:left w:w="0" w:type="dxa"/>
            <w:bottom w:w="0" w:type="dxa"/>
            <w:right w:w="0" w:type="dxa"/>
          </w:tblCellMar>
        </w:tblPrEx>
        <w:trPr>
          <w:trHeight w:val="7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产出指标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数量指标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完成率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接出警任务完成情况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基础设施建设维护标准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质量指标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优良率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结项鉴定优秀等项目数量占结项总数量的比例</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基础设施建设维护标准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时效指标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完好率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有效解决取水困难问题</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基础设施建设维护标准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成本指标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使用率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达到城乡消防设施建设数量要求</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基础设施建设维护标准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效益指标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可持续影响指标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完好率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正常使用情况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基础设施建设维护标准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满意度指标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群众满意数量总占比</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基础设施建设维护标准</w:t>
            </w:r>
          </w:p>
        </w:tc>
      </w:tr>
    </w:tbl>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r>
        <w:rPr>
          <w:rFonts w:hint="eastAsia" w:ascii="仿宋" w:hAnsi="仿宋" w:eastAsia="仿宋" w:cs="仿宋"/>
          <w:b/>
          <w:bCs/>
          <w:sz w:val="32"/>
          <w:szCs w:val="32"/>
          <w:highlight w:val="none"/>
          <w:lang w:val="en-US" w:eastAsia="zh-CN"/>
        </w:rPr>
        <w:t>6、消防站附属设施建设经费</w:t>
      </w:r>
    </w:p>
    <w:tbl>
      <w:tblPr>
        <w:tblStyle w:val="11"/>
        <w:tblpPr w:leftFromText="180" w:rightFromText="180" w:vertAnchor="text" w:horzAnchor="page" w:tblpX="3761" w:tblpY="351"/>
        <w:tblOverlap w:val="never"/>
        <w:tblW w:w="9675" w:type="dxa"/>
        <w:tblInd w:w="0" w:type="dxa"/>
        <w:tblLayout w:type="fixed"/>
        <w:tblCellMar>
          <w:top w:w="0" w:type="dxa"/>
          <w:left w:w="0" w:type="dxa"/>
          <w:bottom w:w="0" w:type="dxa"/>
          <w:right w:w="0" w:type="dxa"/>
        </w:tblCellMar>
      </w:tblPr>
      <w:tblGrid>
        <w:gridCol w:w="1495"/>
        <w:gridCol w:w="1020"/>
        <w:gridCol w:w="1475"/>
        <w:gridCol w:w="1980"/>
        <w:gridCol w:w="630"/>
        <w:gridCol w:w="645"/>
        <w:gridCol w:w="2430"/>
      </w:tblGrid>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项目编码</w:t>
            </w:r>
          </w:p>
        </w:tc>
        <w:tc>
          <w:tcPr>
            <w:tcW w:w="447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130525217VBMWNTQU9HPC</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消防站附属设施建设经费</w:t>
            </w:r>
          </w:p>
        </w:tc>
      </w:tr>
      <w:tr>
        <w:tblPrEx>
          <w:tblCellMar>
            <w:top w:w="0" w:type="dxa"/>
            <w:left w:w="0" w:type="dxa"/>
            <w:bottom w:w="0" w:type="dxa"/>
            <w:right w:w="0" w:type="dxa"/>
          </w:tblCellMar>
        </w:tblPrEx>
        <w:trPr>
          <w:trHeight w:val="420" w:hRule="atLeast"/>
        </w:trPr>
        <w:tc>
          <w:tcPr>
            <w:tcW w:w="597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项目绩效模板</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both"/>
              <w:rPr>
                <w:rFonts w:hint="eastAsia" w:ascii="宋体" w:hAnsi="宋体" w:eastAsia="宋体" w:cs="宋体"/>
                <w:color w:val="000000"/>
                <w:sz w:val="18"/>
                <w:szCs w:val="18"/>
                <w:lang w:val="en-US"/>
              </w:rPr>
            </w:pPr>
          </w:p>
        </w:tc>
      </w:tr>
      <w:tr>
        <w:tblPrEx>
          <w:tblCellMar>
            <w:top w:w="0" w:type="dxa"/>
            <w:left w:w="0" w:type="dxa"/>
            <w:bottom w:w="0" w:type="dxa"/>
            <w:right w:w="0" w:type="dxa"/>
          </w:tblCellMar>
        </w:tblPrEx>
        <w:trPr>
          <w:trHeight w:val="88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资金用途</w:t>
            </w:r>
          </w:p>
        </w:tc>
        <w:tc>
          <w:tcPr>
            <w:tcW w:w="818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color w:val="000000"/>
                <w:sz w:val="18"/>
                <w:szCs w:val="18"/>
                <w:lang w:val="en-US" w:eastAsia="zh-CN"/>
              </w:rPr>
            </w:pPr>
            <w:r>
              <w:rPr>
                <w:rFonts w:hint="eastAsia" w:ascii="仿宋" w:hAnsi="仿宋" w:eastAsia="仿宋" w:cs="仿宋"/>
                <w:color w:val="000000"/>
                <w:sz w:val="24"/>
                <w:szCs w:val="24"/>
                <w:lang w:val="en-US" w:eastAsia="zh-CN"/>
              </w:rPr>
              <w:t>用于莲子镇消防站附属设施建设</w:t>
            </w:r>
          </w:p>
        </w:tc>
      </w:tr>
      <w:tr>
        <w:tblPrEx>
          <w:tblCellMar>
            <w:top w:w="0" w:type="dxa"/>
            <w:left w:w="0" w:type="dxa"/>
            <w:bottom w:w="0" w:type="dxa"/>
            <w:right w:w="0" w:type="dxa"/>
          </w:tblCellMar>
        </w:tblPrEx>
        <w:trPr>
          <w:trHeight w:val="44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资金支出计划</w:t>
            </w: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3</w:t>
            </w:r>
            <w:r>
              <w:rPr>
                <w:rFonts w:hint="eastAsia" w:ascii="仿宋" w:hAnsi="仿宋" w:eastAsia="仿宋" w:cs="仿宋"/>
                <w:b/>
                <w:bCs w:val="0"/>
                <w:color w:val="000000"/>
                <w:kern w:val="0"/>
                <w:sz w:val="24"/>
                <w:szCs w:val="24"/>
              </w:rPr>
              <w:t>月底</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6</w:t>
            </w:r>
            <w:r>
              <w:rPr>
                <w:rFonts w:hint="eastAsia" w:ascii="仿宋" w:hAnsi="仿宋" w:eastAsia="仿宋" w:cs="仿宋"/>
                <w:b/>
                <w:bCs w:val="0"/>
                <w:color w:val="000000"/>
                <w:kern w:val="0"/>
                <w:sz w:val="24"/>
                <w:szCs w:val="24"/>
              </w:rPr>
              <w:t>月底</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10</w:t>
            </w:r>
            <w:r>
              <w:rPr>
                <w:rFonts w:hint="eastAsia" w:ascii="仿宋" w:hAnsi="仿宋" w:eastAsia="仿宋" w:cs="仿宋"/>
                <w:b/>
                <w:bCs w:val="0"/>
                <w:color w:val="000000"/>
                <w:kern w:val="0"/>
                <w:sz w:val="24"/>
                <w:szCs w:val="24"/>
              </w:rPr>
              <w:t>月底</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12</w:t>
            </w:r>
            <w:r>
              <w:rPr>
                <w:rFonts w:hint="eastAsia" w:ascii="仿宋" w:hAnsi="仿宋" w:eastAsia="仿宋" w:cs="仿宋"/>
                <w:b/>
                <w:bCs w:val="0"/>
                <w:color w:val="000000"/>
                <w:kern w:val="0"/>
                <w:sz w:val="24"/>
                <w:szCs w:val="24"/>
              </w:rPr>
              <w:t>月底</w:t>
            </w:r>
          </w:p>
        </w:tc>
      </w:tr>
      <w:tr>
        <w:tblPrEx>
          <w:tblCellMar>
            <w:top w:w="0" w:type="dxa"/>
            <w:left w:w="0" w:type="dxa"/>
            <w:bottom w:w="0" w:type="dxa"/>
            <w:right w:w="0" w:type="dxa"/>
          </w:tblCellMar>
        </w:tblPrEx>
        <w:trPr>
          <w:trHeight w:val="44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绩效目标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目标1</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提升灾害事故处置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目标2</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保障投入执勤</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目标3</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确保全县消防站安全</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一级指标</w:t>
            </w:r>
          </w:p>
        </w:tc>
        <w:tc>
          <w:tcPr>
            <w:tcW w:w="102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二级指标</w:t>
            </w:r>
          </w:p>
        </w:tc>
        <w:tc>
          <w:tcPr>
            <w:tcW w:w="147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绩效指标描述（指标内容）</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指标值</w:t>
            </w:r>
          </w:p>
        </w:tc>
        <w:tc>
          <w:tcPr>
            <w:tcW w:w="243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指标确定依据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47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98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符号</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值</w:t>
            </w:r>
          </w:p>
        </w:tc>
        <w:tc>
          <w:tcPr>
            <w:tcW w:w="243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r>
      <w:tr>
        <w:tblPrEx>
          <w:tblCellMar>
            <w:top w:w="0" w:type="dxa"/>
            <w:left w:w="0" w:type="dxa"/>
            <w:bottom w:w="0" w:type="dxa"/>
            <w:right w:w="0" w:type="dxa"/>
          </w:tblCellMar>
        </w:tblPrEx>
        <w:trPr>
          <w:trHeight w:val="7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产出指标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数量指标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服务覆盖人数</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覆盖的常住人口数</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一级消防站建设标准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质量指标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优良率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投入执勤情况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一级消防站建设标准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时效指标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完成率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工程进度完成情况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一级消防站建设标准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成本指标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利用率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正常生活、工作环境情况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一级消防站建设标准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效益指标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可持续影响指标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长期使用性</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长期保障人民群众对灾害事故的需求</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一级消防站建设标准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满意度指标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群众满意数量总占比</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一级消防站建设标准</w:t>
            </w:r>
          </w:p>
        </w:tc>
      </w:tr>
    </w:tbl>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r>
        <w:rPr>
          <w:rFonts w:hint="eastAsia" w:ascii="仿宋" w:hAnsi="仿宋" w:eastAsia="仿宋" w:cs="仿宋"/>
          <w:b/>
          <w:bCs/>
          <w:sz w:val="32"/>
          <w:szCs w:val="32"/>
          <w:highlight w:val="none"/>
          <w:lang w:val="en-US" w:eastAsia="zh-CN"/>
        </w:rPr>
        <w:t>7、办案补助</w:t>
      </w:r>
    </w:p>
    <w:tbl>
      <w:tblPr>
        <w:tblStyle w:val="11"/>
        <w:tblpPr w:leftFromText="180" w:rightFromText="180" w:vertAnchor="text" w:horzAnchor="page" w:tblpX="3761" w:tblpY="351"/>
        <w:tblOverlap w:val="never"/>
        <w:tblW w:w="9675" w:type="dxa"/>
        <w:tblInd w:w="0" w:type="dxa"/>
        <w:tblLayout w:type="fixed"/>
        <w:tblCellMar>
          <w:top w:w="0" w:type="dxa"/>
          <w:left w:w="0" w:type="dxa"/>
          <w:bottom w:w="0" w:type="dxa"/>
          <w:right w:w="0" w:type="dxa"/>
        </w:tblCellMar>
      </w:tblPr>
      <w:tblGrid>
        <w:gridCol w:w="1495"/>
        <w:gridCol w:w="1020"/>
        <w:gridCol w:w="1475"/>
        <w:gridCol w:w="1980"/>
        <w:gridCol w:w="630"/>
        <w:gridCol w:w="645"/>
        <w:gridCol w:w="2430"/>
      </w:tblGrid>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项目编码</w:t>
            </w:r>
          </w:p>
        </w:tc>
        <w:tc>
          <w:tcPr>
            <w:tcW w:w="447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13052521WILLHX7LD68FV</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eastAsia="zh-CN"/>
              </w:rPr>
              <w:t>办案补助</w:t>
            </w:r>
          </w:p>
        </w:tc>
      </w:tr>
      <w:tr>
        <w:tblPrEx>
          <w:tblCellMar>
            <w:top w:w="0" w:type="dxa"/>
            <w:left w:w="0" w:type="dxa"/>
            <w:bottom w:w="0" w:type="dxa"/>
            <w:right w:w="0" w:type="dxa"/>
          </w:tblCellMar>
        </w:tblPrEx>
        <w:trPr>
          <w:trHeight w:val="420" w:hRule="atLeast"/>
        </w:trPr>
        <w:tc>
          <w:tcPr>
            <w:tcW w:w="597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项目绩效模板</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both"/>
              <w:rPr>
                <w:rFonts w:hint="eastAsia" w:ascii="宋体" w:hAnsi="宋体" w:eastAsia="宋体" w:cs="宋体"/>
                <w:color w:val="000000"/>
                <w:sz w:val="18"/>
                <w:szCs w:val="18"/>
                <w:lang w:val="en-US"/>
              </w:rPr>
            </w:pPr>
          </w:p>
        </w:tc>
      </w:tr>
      <w:tr>
        <w:tblPrEx>
          <w:tblCellMar>
            <w:top w:w="0" w:type="dxa"/>
            <w:left w:w="0" w:type="dxa"/>
            <w:bottom w:w="0" w:type="dxa"/>
            <w:right w:w="0" w:type="dxa"/>
          </w:tblCellMar>
        </w:tblPrEx>
        <w:trPr>
          <w:trHeight w:val="88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资金用途</w:t>
            </w:r>
          </w:p>
        </w:tc>
        <w:tc>
          <w:tcPr>
            <w:tcW w:w="818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color w:val="000000"/>
                <w:sz w:val="18"/>
                <w:szCs w:val="18"/>
                <w:lang w:val="en-US" w:eastAsia="zh-CN"/>
              </w:rPr>
            </w:pPr>
            <w:r>
              <w:rPr>
                <w:rFonts w:hint="eastAsia" w:ascii="仿宋" w:hAnsi="仿宋" w:eastAsia="仿宋" w:cs="仿宋"/>
                <w:color w:val="000000"/>
                <w:sz w:val="24"/>
                <w:szCs w:val="24"/>
                <w:lang w:val="en-US" w:eastAsia="zh-CN"/>
              </w:rPr>
              <w:t>用于消防人员被装购置、发放</w:t>
            </w:r>
          </w:p>
        </w:tc>
      </w:tr>
      <w:tr>
        <w:tblPrEx>
          <w:tblCellMar>
            <w:top w:w="0" w:type="dxa"/>
            <w:left w:w="0" w:type="dxa"/>
            <w:bottom w:w="0" w:type="dxa"/>
            <w:right w:w="0" w:type="dxa"/>
          </w:tblCellMar>
        </w:tblPrEx>
        <w:trPr>
          <w:trHeight w:val="44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资金支出计划</w:t>
            </w: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3</w:t>
            </w:r>
            <w:r>
              <w:rPr>
                <w:rFonts w:hint="eastAsia" w:ascii="仿宋" w:hAnsi="仿宋" w:eastAsia="仿宋" w:cs="仿宋"/>
                <w:b/>
                <w:bCs w:val="0"/>
                <w:color w:val="000000"/>
                <w:kern w:val="0"/>
                <w:sz w:val="24"/>
                <w:szCs w:val="24"/>
              </w:rPr>
              <w:t>月底</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6</w:t>
            </w:r>
            <w:r>
              <w:rPr>
                <w:rFonts w:hint="eastAsia" w:ascii="仿宋" w:hAnsi="仿宋" w:eastAsia="仿宋" w:cs="仿宋"/>
                <w:b/>
                <w:bCs w:val="0"/>
                <w:color w:val="000000"/>
                <w:kern w:val="0"/>
                <w:sz w:val="24"/>
                <w:szCs w:val="24"/>
              </w:rPr>
              <w:t>月底</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10</w:t>
            </w:r>
            <w:r>
              <w:rPr>
                <w:rFonts w:hint="eastAsia" w:ascii="仿宋" w:hAnsi="仿宋" w:eastAsia="仿宋" w:cs="仿宋"/>
                <w:b/>
                <w:bCs w:val="0"/>
                <w:color w:val="000000"/>
                <w:kern w:val="0"/>
                <w:sz w:val="24"/>
                <w:szCs w:val="24"/>
              </w:rPr>
              <w:t>月底</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12</w:t>
            </w:r>
            <w:r>
              <w:rPr>
                <w:rFonts w:hint="eastAsia" w:ascii="仿宋" w:hAnsi="仿宋" w:eastAsia="仿宋" w:cs="仿宋"/>
                <w:b/>
                <w:bCs w:val="0"/>
                <w:color w:val="000000"/>
                <w:kern w:val="0"/>
                <w:sz w:val="24"/>
                <w:szCs w:val="24"/>
              </w:rPr>
              <w:t>月底</w:t>
            </w:r>
          </w:p>
        </w:tc>
      </w:tr>
      <w:tr>
        <w:tblPrEx>
          <w:tblCellMar>
            <w:top w:w="0" w:type="dxa"/>
            <w:left w:w="0" w:type="dxa"/>
            <w:bottom w:w="0" w:type="dxa"/>
            <w:right w:w="0" w:type="dxa"/>
          </w:tblCellMar>
        </w:tblPrEx>
        <w:trPr>
          <w:trHeight w:val="415"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100</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绩效目标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目标1</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加强应急管理</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目标2</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完善被装统一</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目标3</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内务统一</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一级指标</w:t>
            </w:r>
          </w:p>
        </w:tc>
        <w:tc>
          <w:tcPr>
            <w:tcW w:w="102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二级指标</w:t>
            </w:r>
          </w:p>
        </w:tc>
        <w:tc>
          <w:tcPr>
            <w:tcW w:w="147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绩效指标描述（指标内容）</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指标值</w:t>
            </w:r>
          </w:p>
        </w:tc>
        <w:tc>
          <w:tcPr>
            <w:tcW w:w="243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指标确定依据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47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98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符号</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值</w:t>
            </w:r>
          </w:p>
        </w:tc>
        <w:tc>
          <w:tcPr>
            <w:tcW w:w="243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r>
      <w:tr>
        <w:tblPrEx>
          <w:tblCellMar>
            <w:top w:w="0" w:type="dxa"/>
            <w:left w:w="0" w:type="dxa"/>
            <w:bottom w:w="0" w:type="dxa"/>
            <w:right w:w="0" w:type="dxa"/>
          </w:tblCellMar>
        </w:tblPrEx>
        <w:trPr>
          <w:trHeight w:val="7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产出指标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数量指标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人均发放率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被装统一</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被装配备标准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质量指标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人均发放率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被装统一</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被装配备标准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时效指标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完成率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当年任务完成情况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被装配备标准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成本指标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完成率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被装统一</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被装配备标准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效益指标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可持续影响指标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长期使用性</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满足队员被装统一的需求</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被装配备标准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满意度指标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群众满意数量总占比</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被装配备标准</w:t>
            </w:r>
          </w:p>
        </w:tc>
      </w:tr>
    </w:tbl>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r>
        <w:rPr>
          <w:rFonts w:hint="eastAsia" w:ascii="仿宋" w:hAnsi="仿宋" w:eastAsia="仿宋" w:cs="仿宋"/>
          <w:b/>
          <w:bCs/>
          <w:sz w:val="32"/>
          <w:szCs w:val="32"/>
          <w:highlight w:val="none"/>
          <w:lang w:val="en-US" w:eastAsia="zh-CN"/>
        </w:rPr>
        <w:t>8、消防业务经费</w:t>
      </w:r>
    </w:p>
    <w:tbl>
      <w:tblPr>
        <w:tblStyle w:val="11"/>
        <w:tblpPr w:leftFromText="180" w:rightFromText="180" w:vertAnchor="text" w:horzAnchor="page" w:tblpX="3761" w:tblpY="351"/>
        <w:tblOverlap w:val="never"/>
        <w:tblW w:w="9675" w:type="dxa"/>
        <w:tblInd w:w="0" w:type="dxa"/>
        <w:tblLayout w:type="fixed"/>
        <w:tblCellMar>
          <w:top w:w="0" w:type="dxa"/>
          <w:left w:w="0" w:type="dxa"/>
          <w:bottom w:w="0" w:type="dxa"/>
          <w:right w:w="0" w:type="dxa"/>
        </w:tblCellMar>
      </w:tblPr>
      <w:tblGrid>
        <w:gridCol w:w="1495"/>
        <w:gridCol w:w="1020"/>
        <w:gridCol w:w="1475"/>
        <w:gridCol w:w="1980"/>
        <w:gridCol w:w="630"/>
        <w:gridCol w:w="645"/>
        <w:gridCol w:w="2430"/>
      </w:tblGrid>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项目编码</w:t>
            </w:r>
          </w:p>
        </w:tc>
        <w:tc>
          <w:tcPr>
            <w:tcW w:w="447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13052521OE1XUEUYECUF1</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eastAsia="zh-CN"/>
              </w:rPr>
              <w:t>消防业务经费</w:t>
            </w:r>
          </w:p>
        </w:tc>
      </w:tr>
      <w:tr>
        <w:tblPrEx>
          <w:tblCellMar>
            <w:top w:w="0" w:type="dxa"/>
            <w:left w:w="0" w:type="dxa"/>
            <w:bottom w:w="0" w:type="dxa"/>
            <w:right w:w="0" w:type="dxa"/>
          </w:tblCellMar>
        </w:tblPrEx>
        <w:trPr>
          <w:trHeight w:val="420" w:hRule="atLeast"/>
        </w:trPr>
        <w:tc>
          <w:tcPr>
            <w:tcW w:w="597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项目绩效模板</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both"/>
              <w:rPr>
                <w:rFonts w:hint="eastAsia" w:ascii="宋体" w:hAnsi="宋体" w:eastAsia="宋体" w:cs="宋体"/>
                <w:color w:val="000000"/>
                <w:sz w:val="18"/>
                <w:szCs w:val="18"/>
                <w:lang w:val="en-US"/>
              </w:rPr>
            </w:pPr>
          </w:p>
        </w:tc>
      </w:tr>
      <w:tr>
        <w:tblPrEx>
          <w:tblCellMar>
            <w:top w:w="0" w:type="dxa"/>
            <w:left w:w="0" w:type="dxa"/>
            <w:bottom w:w="0" w:type="dxa"/>
            <w:right w:w="0" w:type="dxa"/>
          </w:tblCellMar>
        </w:tblPrEx>
        <w:trPr>
          <w:trHeight w:val="88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资金用途</w:t>
            </w:r>
          </w:p>
        </w:tc>
        <w:tc>
          <w:tcPr>
            <w:tcW w:w="818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color w:val="000000"/>
                <w:sz w:val="18"/>
                <w:szCs w:val="18"/>
                <w:lang w:val="en-US" w:eastAsia="zh-CN"/>
              </w:rPr>
            </w:pPr>
            <w:r>
              <w:rPr>
                <w:rFonts w:hint="eastAsia" w:ascii="仿宋" w:hAnsi="仿宋" w:eastAsia="仿宋" w:cs="仿宋"/>
                <w:color w:val="000000"/>
                <w:sz w:val="24"/>
                <w:szCs w:val="24"/>
                <w:lang w:val="en-US" w:eastAsia="zh-CN"/>
              </w:rPr>
              <w:t>用于消防大队车辆运行维护、办公、水电、取暖、宣传印刷等</w:t>
            </w:r>
          </w:p>
        </w:tc>
      </w:tr>
      <w:tr>
        <w:tblPrEx>
          <w:tblCellMar>
            <w:top w:w="0" w:type="dxa"/>
            <w:left w:w="0" w:type="dxa"/>
            <w:bottom w:w="0" w:type="dxa"/>
            <w:right w:w="0" w:type="dxa"/>
          </w:tblCellMar>
        </w:tblPrEx>
        <w:trPr>
          <w:trHeight w:val="44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资金支出计划</w:t>
            </w: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3</w:t>
            </w:r>
            <w:r>
              <w:rPr>
                <w:rFonts w:hint="eastAsia" w:ascii="仿宋" w:hAnsi="仿宋" w:eastAsia="仿宋" w:cs="仿宋"/>
                <w:b/>
                <w:bCs w:val="0"/>
                <w:color w:val="000000"/>
                <w:kern w:val="0"/>
                <w:sz w:val="24"/>
                <w:szCs w:val="24"/>
              </w:rPr>
              <w:t>月底</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6</w:t>
            </w:r>
            <w:r>
              <w:rPr>
                <w:rFonts w:hint="eastAsia" w:ascii="仿宋" w:hAnsi="仿宋" w:eastAsia="仿宋" w:cs="仿宋"/>
                <w:b/>
                <w:bCs w:val="0"/>
                <w:color w:val="000000"/>
                <w:kern w:val="0"/>
                <w:sz w:val="24"/>
                <w:szCs w:val="24"/>
              </w:rPr>
              <w:t>月底</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10</w:t>
            </w:r>
            <w:r>
              <w:rPr>
                <w:rFonts w:hint="eastAsia" w:ascii="仿宋" w:hAnsi="仿宋" w:eastAsia="仿宋" w:cs="仿宋"/>
                <w:b/>
                <w:bCs w:val="0"/>
                <w:color w:val="000000"/>
                <w:kern w:val="0"/>
                <w:sz w:val="24"/>
                <w:szCs w:val="24"/>
              </w:rPr>
              <w:t>月底</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12</w:t>
            </w:r>
            <w:r>
              <w:rPr>
                <w:rFonts w:hint="eastAsia" w:ascii="仿宋" w:hAnsi="仿宋" w:eastAsia="仿宋" w:cs="仿宋"/>
                <w:b/>
                <w:bCs w:val="0"/>
                <w:color w:val="000000"/>
                <w:kern w:val="0"/>
                <w:sz w:val="24"/>
                <w:szCs w:val="24"/>
              </w:rPr>
              <w:t>月底</w:t>
            </w:r>
          </w:p>
        </w:tc>
      </w:tr>
      <w:tr>
        <w:tblPrEx>
          <w:tblCellMar>
            <w:top w:w="0" w:type="dxa"/>
            <w:left w:w="0" w:type="dxa"/>
            <w:bottom w:w="0" w:type="dxa"/>
            <w:right w:w="0" w:type="dxa"/>
          </w:tblCellMar>
        </w:tblPrEx>
        <w:trPr>
          <w:trHeight w:val="415"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25</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50</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75</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100</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绩效目标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目标1</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减少消除火灾隐患</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目标2</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保障人民生命财产安全</w:t>
            </w:r>
          </w:p>
        </w:tc>
      </w:tr>
      <w:tr>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目标3</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保障单位正常运行率</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一级指标</w:t>
            </w:r>
          </w:p>
        </w:tc>
        <w:tc>
          <w:tcPr>
            <w:tcW w:w="102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二级指标</w:t>
            </w:r>
          </w:p>
        </w:tc>
        <w:tc>
          <w:tcPr>
            <w:tcW w:w="147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绩效指标描述（指标内容）</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指标值</w:t>
            </w:r>
          </w:p>
        </w:tc>
        <w:tc>
          <w:tcPr>
            <w:tcW w:w="243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指标确定依据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47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98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符号</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值</w:t>
            </w:r>
          </w:p>
        </w:tc>
        <w:tc>
          <w:tcPr>
            <w:tcW w:w="243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r>
      <w:tr>
        <w:tblPrEx>
          <w:tblCellMar>
            <w:top w:w="0" w:type="dxa"/>
            <w:left w:w="0" w:type="dxa"/>
            <w:bottom w:w="0" w:type="dxa"/>
            <w:right w:w="0" w:type="dxa"/>
          </w:tblCellMar>
        </w:tblPrEx>
        <w:trPr>
          <w:trHeight w:val="7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产出指标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数量指标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保障单位正常运行率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保障单位正常运行</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default" w:ascii="宋体" w:hAnsi="宋体" w:eastAsia="宋体" w:cs="宋体"/>
                <w:i w:val="0"/>
                <w:color w:val="000000"/>
                <w:kern w:val="2"/>
                <w:sz w:val="18"/>
                <w:szCs w:val="18"/>
                <w:u w:val="none"/>
                <w:lang w:val="en-US" w:eastAsia="zh-CN" w:bidi="ar-SA"/>
              </w:rPr>
            </w:pPr>
            <w:r>
              <w:rPr>
                <w:rFonts w:hint="eastAsia" w:ascii="仿宋" w:hAnsi="仿宋" w:eastAsia="仿宋" w:cs="仿宋"/>
                <w:color w:val="000000"/>
                <w:kern w:val="0"/>
                <w:sz w:val="24"/>
                <w:szCs w:val="24"/>
                <w:lang w:val="en-US" w:eastAsia="zh-CN"/>
              </w:rPr>
              <w:t>日常办公、出警</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质量指标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消防宣传覆盖率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top"/>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消防宣传</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日常办公、出警</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时效指标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完成率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top"/>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当年消防正常任务完成情况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日常办公、出警</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成本指标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正常办公、生活和执勤备战</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top"/>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正常办公、生活和执勤备战</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日常办公、出警</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效益指标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可持续影响指标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基本公共服务水平</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top"/>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挽回的经济损失</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日常办公、出警</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满意度指标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群众满意数量总占比</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日常办公、出警</w:t>
            </w:r>
          </w:p>
        </w:tc>
      </w:tr>
    </w:tbl>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default" w:ascii="仿宋" w:hAnsi="仿宋" w:eastAsia="仿宋" w:cs="仿宋"/>
          <w:b/>
          <w:bCs/>
          <w:sz w:val="32"/>
          <w:szCs w:val="32"/>
          <w:highlight w:val="none"/>
          <w:lang w:val="en-US" w:eastAsia="zh-CN"/>
        </w:rPr>
      </w:pPr>
      <w:r>
        <w:rPr>
          <w:rFonts w:hint="eastAsia" w:ascii="仿宋" w:hAnsi="仿宋" w:eastAsia="仿宋" w:cs="仿宋"/>
          <w:b/>
          <w:bCs/>
          <w:sz w:val="32"/>
          <w:szCs w:val="32"/>
          <w:highlight w:val="none"/>
          <w:lang w:val="en-US" w:eastAsia="zh-CN"/>
        </w:rPr>
        <w:t>9、消防人员及附加经费</w:t>
      </w:r>
    </w:p>
    <w:tbl>
      <w:tblPr>
        <w:tblStyle w:val="11"/>
        <w:tblpPr w:leftFromText="180" w:rightFromText="180" w:vertAnchor="text" w:horzAnchor="page" w:tblpX="3761" w:tblpY="351"/>
        <w:tblOverlap w:val="never"/>
        <w:tblW w:w="9675" w:type="dxa"/>
        <w:tblInd w:w="0" w:type="dxa"/>
        <w:tblLayout w:type="fixed"/>
        <w:tblCellMar>
          <w:top w:w="0" w:type="dxa"/>
          <w:left w:w="0" w:type="dxa"/>
          <w:bottom w:w="0" w:type="dxa"/>
          <w:right w:w="0" w:type="dxa"/>
        </w:tblCellMar>
      </w:tblPr>
      <w:tblGrid>
        <w:gridCol w:w="1495"/>
        <w:gridCol w:w="1020"/>
        <w:gridCol w:w="1475"/>
        <w:gridCol w:w="1980"/>
        <w:gridCol w:w="630"/>
        <w:gridCol w:w="645"/>
        <w:gridCol w:w="2430"/>
      </w:tblGrid>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项目编码</w:t>
            </w:r>
          </w:p>
        </w:tc>
        <w:tc>
          <w:tcPr>
            <w:tcW w:w="447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13052521H0WK0AHVBW8VY</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eastAsia="zh-CN"/>
              </w:rPr>
              <w:t>消防人员及附加经费</w:t>
            </w:r>
          </w:p>
        </w:tc>
      </w:tr>
      <w:tr>
        <w:tblPrEx>
          <w:tblCellMar>
            <w:top w:w="0" w:type="dxa"/>
            <w:left w:w="0" w:type="dxa"/>
            <w:bottom w:w="0" w:type="dxa"/>
            <w:right w:w="0" w:type="dxa"/>
          </w:tblCellMar>
        </w:tblPrEx>
        <w:trPr>
          <w:trHeight w:val="420" w:hRule="atLeast"/>
        </w:trPr>
        <w:tc>
          <w:tcPr>
            <w:tcW w:w="597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项目绩效模板</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both"/>
              <w:rPr>
                <w:rFonts w:hint="eastAsia" w:ascii="宋体" w:hAnsi="宋体" w:eastAsia="宋体" w:cs="宋体"/>
                <w:color w:val="000000"/>
                <w:sz w:val="18"/>
                <w:szCs w:val="18"/>
                <w:lang w:val="en-US"/>
              </w:rPr>
            </w:pPr>
          </w:p>
        </w:tc>
      </w:tr>
      <w:tr>
        <w:tblPrEx>
          <w:tblCellMar>
            <w:top w:w="0" w:type="dxa"/>
            <w:left w:w="0" w:type="dxa"/>
            <w:bottom w:w="0" w:type="dxa"/>
            <w:right w:w="0" w:type="dxa"/>
          </w:tblCellMar>
        </w:tblPrEx>
        <w:trPr>
          <w:trHeight w:val="88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资金用途</w:t>
            </w:r>
          </w:p>
        </w:tc>
        <w:tc>
          <w:tcPr>
            <w:tcW w:w="818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color w:val="000000"/>
                <w:sz w:val="18"/>
                <w:szCs w:val="18"/>
                <w:lang w:val="en-US" w:eastAsia="zh-CN"/>
              </w:rPr>
            </w:pPr>
            <w:r>
              <w:rPr>
                <w:rFonts w:hint="default" w:ascii="仿宋" w:hAnsi="仿宋" w:eastAsia="仿宋" w:cs="仿宋"/>
                <w:color w:val="000000"/>
                <w:sz w:val="24"/>
                <w:szCs w:val="24"/>
                <w:lang w:val="en-US" w:eastAsia="zh-CN"/>
              </w:rPr>
              <w:t>用于消防人员工资福利支出</w:t>
            </w:r>
          </w:p>
        </w:tc>
      </w:tr>
      <w:tr>
        <w:tblPrEx>
          <w:tblCellMar>
            <w:top w:w="0" w:type="dxa"/>
            <w:left w:w="0" w:type="dxa"/>
            <w:bottom w:w="0" w:type="dxa"/>
            <w:right w:w="0" w:type="dxa"/>
          </w:tblCellMar>
        </w:tblPrEx>
        <w:trPr>
          <w:trHeight w:val="44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资金支出计划</w:t>
            </w: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3</w:t>
            </w:r>
            <w:r>
              <w:rPr>
                <w:rFonts w:hint="eastAsia" w:ascii="仿宋" w:hAnsi="仿宋" w:eastAsia="仿宋" w:cs="仿宋"/>
                <w:b/>
                <w:bCs w:val="0"/>
                <w:color w:val="000000"/>
                <w:kern w:val="0"/>
                <w:sz w:val="24"/>
                <w:szCs w:val="24"/>
              </w:rPr>
              <w:t>月底</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6</w:t>
            </w:r>
            <w:r>
              <w:rPr>
                <w:rFonts w:hint="eastAsia" w:ascii="仿宋" w:hAnsi="仿宋" w:eastAsia="仿宋" w:cs="仿宋"/>
                <w:b/>
                <w:bCs w:val="0"/>
                <w:color w:val="000000"/>
                <w:kern w:val="0"/>
                <w:sz w:val="24"/>
                <w:szCs w:val="24"/>
              </w:rPr>
              <w:t>月底</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10</w:t>
            </w:r>
            <w:r>
              <w:rPr>
                <w:rFonts w:hint="eastAsia" w:ascii="仿宋" w:hAnsi="仿宋" w:eastAsia="仿宋" w:cs="仿宋"/>
                <w:b/>
                <w:bCs w:val="0"/>
                <w:color w:val="000000"/>
                <w:kern w:val="0"/>
                <w:sz w:val="24"/>
                <w:szCs w:val="24"/>
              </w:rPr>
              <w:t>月底</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12</w:t>
            </w:r>
            <w:r>
              <w:rPr>
                <w:rFonts w:hint="eastAsia" w:ascii="仿宋" w:hAnsi="仿宋" w:eastAsia="仿宋" w:cs="仿宋"/>
                <w:b/>
                <w:bCs w:val="0"/>
                <w:color w:val="000000"/>
                <w:kern w:val="0"/>
                <w:sz w:val="24"/>
                <w:szCs w:val="24"/>
              </w:rPr>
              <w:t>月底</w:t>
            </w:r>
          </w:p>
        </w:tc>
      </w:tr>
      <w:tr>
        <w:tblPrEx>
          <w:tblCellMar>
            <w:top w:w="0" w:type="dxa"/>
            <w:left w:w="0" w:type="dxa"/>
            <w:bottom w:w="0" w:type="dxa"/>
            <w:right w:w="0" w:type="dxa"/>
          </w:tblCellMar>
        </w:tblPrEx>
        <w:trPr>
          <w:trHeight w:val="415"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25</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50</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75</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100</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绩效目标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目标1</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减少有骨干人员流失</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目标2</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提升人员工作积极性</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目标3</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提高消防人员待遇</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一级指标</w:t>
            </w:r>
          </w:p>
        </w:tc>
        <w:tc>
          <w:tcPr>
            <w:tcW w:w="102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二级指标</w:t>
            </w:r>
          </w:p>
        </w:tc>
        <w:tc>
          <w:tcPr>
            <w:tcW w:w="147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绩效指标描述（指标内容）</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指标值</w:t>
            </w:r>
          </w:p>
        </w:tc>
        <w:tc>
          <w:tcPr>
            <w:tcW w:w="243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指标确定依据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47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98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符号</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值</w:t>
            </w:r>
          </w:p>
        </w:tc>
        <w:tc>
          <w:tcPr>
            <w:tcW w:w="243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r>
      <w:tr>
        <w:tblPrEx>
          <w:tblCellMar>
            <w:top w:w="0" w:type="dxa"/>
            <w:left w:w="0" w:type="dxa"/>
            <w:bottom w:w="0" w:type="dxa"/>
            <w:right w:w="0" w:type="dxa"/>
          </w:tblCellMar>
        </w:tblPrEx>
        <w:trPr>
          <w:trHeight w:val="7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产出指标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数量指标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提升消防人员收入</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达到省市文件通知关于消防人员工资福利待遇标准要求</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达到省市文件通知关于消防人员工资福利待遇标准要求</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质量指标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提高消防指挥员收入</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有利于队伍稳定和减少人才流失。</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达到省市文件通知关于消防人员工资福利待遇标准要求</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时效指标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到位情况</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达到省市文件通知关于消防人员工资福利待遇标准要求</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达到省市文件通知关于消防人员工资福利待遇标准要求</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成本指标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到位情况</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达到省市文件通知关于消防人员工资福利待遇标准要求</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达到省市文件通知关于消防人员工资福利待遇标准要求</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效益指标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可持续影响指标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消防安全、队伍稳定</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有利于队伍稳定和消防指战员权益得到保障</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达到省市文件通知关于消防人员工资福利待遇标准要求</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满意度指标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群众满意数量总占比</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达到省市文件通知关于消防人员工资福利待遇标准要求</w:t>
            </w:r>
          </w:p>
        </w:tc>
      </w:tr>
    </w:tbl>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default" w:ascii="仿宋" w:hAnsi="仿宋" w:eastAsia="仿宋" w:cs="仿宋"/>
          <w:b/>
          <w:bCs/>
          <w:sz w:val="32"/>
          <w:szCs w:val="32"/>
          <w:highlight w:val="none"/>
          <w:lang w:val="en-US" w:eastAsia="zh-CN"/>
        </w:rPr>
      </w:pPr>
      <w:r>
        <w:rPr>
          <w:rFonts w:hint="eastAsia" w:ascii="仿宋" w:hAnsi="仿宋" w:eastAsia="仿宋" w:cs="仿宋"/>
          <w:b/>
          <w:bCs/>
          <w:sz w:val="32"/>
          <w:szCs w:val="32"/>
          <w:highlight w:val="none"/>
          <w:lang w:val="en-US" w:eastAsia="zh-CN"/>
        </w:rPr>
        <w:t>10、消防站建设经费</w:t>
      </w:r>
    </w:p>
    <w:tbl>
      <w:tblPr>
        <w:tblStyle w:val="11"/>
        <w:tblpPr w:leftFromText="180" w:rightFromText="180" w:vertAnchor="text" w:horzAnchor="page" w:tblpX="3761" w:tblpY="351"/>
        <w:tblOverlap w:val="never"/>
        <w:tblW w:w="9675" w:type="dxa"/>
        <w:tblInd w:w="0" w:type="dxa"/>
        <w:tblLayout w:type="fixed"/>
        <w:tblCellMar>
          <w:top w:w="0" w:type="dxa"/>
          <w:left w:w="0" w:type="dxa"/>
          <w:bottom w:w="0" w:type="dxa"/>
          <w:right w:w="0" w:type="dxa"/>
        </w:tblCellMar>
      </w:tblPr>
      <w:tblGrid>
        <w:gridCol w:w="1495"/>
        <w:gridCol w:w="1020"/>
        <w:gridCol w:w="1475"/>
        <w:gridCol w:w="1980"/>
        <w:gridCol w:w="630"/>
        <w:gridCol w:w="645"/>
        <w:gridCol w:w="2430"/>
      </w:tblGrid>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项目编码</w:t>
            </w:r>
          </w:p>
        </w:tc>
        <w:tc>
          <w:tcPr>
            <w:tcW w:w="447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13052521GX1GBV0KWYPB3</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eastAsia="zh-CN"/>
              </w:rPr>
              <w:t>消防站建设经费</w:t>
            </w:r>
          </w:p>
        </w:tc>
      </w:tr>
      <w:tr>
        <w:tblPrEx>
          <w:tblCellMar>
            <w:top w:w="0" w:type="dxa"/>
            <w:left w:w="0" w:type="dxa"/>
            <w:bottom w:w="0" w:type="dxa"/>
            <w:right w:w="0" w:type="dxa"/>
          </w:tblCellMar>
        </w:tblPrEx>
        <w:trPr>
          <w:trHeight w:val="420" w:hRule="atLeast"/>
        </w:trPr>
        <w:tc>
          <w:tcPr>
            <w:tcW w:w="597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项目绩效模板</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both"/>
              <w:rPr>
                <w:rFonts w:hint="eastAsia" w:ascii="宋体" w:hAnsi="宋体" w:eastAsia="宋体" w:cs="宋体"/>
                <w:color w:val="000000"/>
                <w:sz w:val="18"/>
                <w:szCs w:val="18"/>
                <w:lang w:val="en-US"/>
              </w:rPr>
            </w:pPr>
          </w:p>
        </w:tc>
      </w:tr>
      <w:tr>
        <w:tblPrEx>
          <w:tblCellMar>
            <w:top w:w="0" w:type="dxa"/>
            <w:left w:w="0" w:type="dxa"/>
            <w:bottom w:w="0" w:type="dxa"/>
            <w:right w:w="0" w:type="dxa"/>
          </w:tblCellMar>
        </w:tblPrEx>
        <w:trPr>
          <w:trHeight w:val="88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资金用途</w:t>
            </w:r>
          </w:p>
        </w:tc>
        <w:tc>
          <w:tcPr>
            <w:tcW w:w="818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color w:val="000000"/>
                <w:sz w:val="18"/>
                <w:szCs w:val="18"/>
                <w:lang w:val="en-US" w:eastAsia="zh-CN"/>
              </w:rPr>
            </w:pPr>
            <w:r>
              <w:rPr>
                <w:rFonts w:hint="default" w:ascii="仿宋" w:hAnsi="仿宋" w:eastAsia="仿宋" w:cs="仿宋"/>
                <w:color w:val="000000"/>
                <w:sz w:val="24"/>
                <w:szCs w:val="24"/>
                <w:lang w:val="en-US" w:eastAsia="zh-CN"/>
              </w:rPr>
              <w:t>用于隆尧县新建一级消防站</w:t>
            </w:r>
          </w:p>
        </w:tc>
      </w:tr>
      <w:tr>
        <w:tblPrEx>
          <w:tblCellMar>
            <w:top w:w="0" w:type="dxa"/>
            <w:left w:w="0" w:type="dxa"/>
            <w:bottom w:w="0" w:type="dxa"/>
            <w:right w:w="0" w:type="dxa"/>
          </w:tblCellMar>
        </w:tblPrEx>
        <w:trPr>
          <w:trHeight w:val="44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资金支出计划</w:t>
            </w: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3</w:t>
            </w:r>
            <w:r>
              <w:rPr>
                <w:rFonts w:hint="eastAsia" w:ascii="仿宋" w:hAnsi="仿宋" w:eastAsia="仿宋" w:cs="仿宋"/>
                <w:b/>
                <w:bCs w:val="0"/>
                <w:color w:val="000000"/>
                <w:kern w:val="0"/>
                <w:sz w:val="24"/>
                <w:szCs w:val="24"/>
              </w:rPr>
              <w:t>月底</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6</w:t>
            </w:r>
            <w:r>
              <w:rPr>
                <w:rFonts w:hint="eastAsia" w:ascii="仿宋" w:hAnsi="仿宋" w:eastAsia="仿宋" w:cs="仿宋"/>
                <w:b/>
                <w:bCs w:val="0"/>
                <w:color w:val="000000"/>
                <w:kern w:val="0"/>
                <w:sz w:val="24"/>
                <w:szCs w:val="24"/>
              </w:rPr>
              <w:t>月底</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10</w:t>
            </w:r>
            <w:r>
              <w:rPr>
                <w:rFonts w:hint="eastAsia" w:ascii="仿宋" w:hAnsi="仿宋" w:eastAsia="仿宋" w:cs="仿宋"/>
                <w:b/>
                <w:bCs w:val="0"/>
                <w:color w:val="000000"/>
                <w:kern w:val="0"/>
                <w:sz w:val="24"/>
                <w:szCs w:val="24"/>
              </w:rPr>
              <w:t>月底</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12</w:t>
            </w:r>
            <w:r>
              <w:rPr>
                <w:rFonts w:hint="eastAsia" w:ascii="仿宋" w:hAnsi="仿宋" w:eastAsia="仿宋" w:cs="仿宋"/>
                <w:b/>
                <w:bCs w:val="0"/>
                <w:color w:val="000000"/>
                <w:kern w:val="0"/>
                <w:sz w:val="24"/>
                <w:szCs w:val="24"/>
              </w:rPr>
              <w:t>月底</w:t>
            </w:r>
          </w:p>
        </w:tc>
      </w:tr>
      <w:tr>
        <w:tblPrEx>
          <w:tblCellMar>
            <w:top w:w="0" w:type="dxa"/>
            <w:left w:w="0" w:type="dxa"/>
            <w:bottom w:w="0" w:type="dxa"/>
            <w:right w:w="0" w:type="dxa"/>
          </w:tblCellMar>
        </w:tblPrEx>
        <w:trPr>
          <w:trHeight w:val="415"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绩效目标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目标1</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提升灾害事故处置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目标2</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保障投入执勤</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目标3</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确保全县消防站安全</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一级指标</w:t>
            </w:r>
          </w:p>
        </w:tc>
        <w:tc>
          <w:tcPr>
            <w:tcW w:w="102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二级指标</w:t>
            </w:r>
          </w:p>
        </w:tc>
        <w:tc>
          <w:tcPr>
            <w:tcW w:w="147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绩效指标描述（指标内容）</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指标值</w:t>
            </w:r>
          </w:p>
        </w:tc>
        <w:tc>
          <w:tcPr>
            <w:tcW w:w="243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指标确定依据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47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98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符号</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值</w:t>
            </w:r>
          </w:p>
        </w:tc>
        <w:tc>
          <w:tcPr>
            <w:tcW w:w="243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r>
      <w:tr>
        <w:tblPrEx>
          <w:tblCellMar>
            <w:top w:w="0" w:type="dxa"/>
            <w:left w:w="0" w:type="dxa"/>
            <w:bottom w:w="0" w:type="dxa"/>
            <w:right w:w="0" w:type="dxa"/>
          </w:tblCellMar>
        </w:tblPrEx>
        <w:trPr>
          <w:trHeight w:val="7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产出指标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数量指标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服务覆盖人数</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覆盖的常住人口数</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一级消防站建设标准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质量指标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优良率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投入执勤情况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一级消防站建设标准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时效指标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完成率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工程进度完成情况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一级消防站建设标准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成本指标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利用率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正常生活、工作环境情况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一级消防站建设标准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效益指标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可持续影响指标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长期使用性</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长期保障人民群众对灾害事故的需求</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一级消防站建设标准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满意度指标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群众满意数量总占比</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一级消防站建设标准</w:t>
            </w:r>
          </w:p>
        </w:tc>
      </w:tr>
    </w:tbl>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numPr>
          <w:ilvl w:val="0"/>
          <w:numId w:val="1"/>
        </w:numPr>
        <w:autoSpaceDE w:val="0"/>
        <w:autoSpaceDN w:val="0"/>
        <w:adjustRightInd w:val="0"/>
        <w:ind w:left="0" w:leftChars="0"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政府采购预算情况</w:t>
      </w:r>
    </w:p>
    <w:p>
      <w:pPr>
        <w:numPr>
          <w:ilvl w:val="0"/>
          <w:numId w:val="0"/>
        </w:numPr>
        <w:spacing w:line="500" w:lineRule="exact"/>
        <w:ind w:firstLine="640" w:firstLineChars="200"/>
        <w:jc w:val="left"/>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2021年，隆尧县消防救援大队安排政府采购预算0.00万元。具体内容见下表。</w:t>
      </w:r>
    </w:p>
    <w:tbl>
      <w:tblPr>
        <w:tblStyle w:val="11"/>
        <w:tblpPr w:leftFromText="180" w:rightFromText="180" w:vertAnchor="text" w:horzAnchor="page" w:tblpX="496" w:tblpY="1113"/>
        <w:tblOverlap w:val="never"/>
        <w:tblW w:w="154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79"/>
        <w:gridCol w:w="957"/>
        <w:gridCol w:w="949"/>
        <w:gridCol w:w="949"/>
        <w:gridCol w:w="949"/>
        <w:gridCol w:w="949"/>
        <w:gridCol w:w="949"/>
        <w:gridCol w:w="949"/>
        <w:gridCol w:w="949"/>
        <w:gridCol w:w="949"/>
        <w:gridCol w:w="949"/>
        <w:gridCol w:w="949"/>
        <w:gridCol w:w="949"/>
        <w:gridCol w:w="949"/>
        <w:gridCol w:w="950"/>
        <w:gridCol w:w="96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15420" w:type="dxa"/>
            <w:gridSpan w:val="16"/>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ascii="方正小标宋_GBK" w:hAnsi="方正小标宋_GBK" w:eastAsia="方正小标宋_GBK" w:cs="方正小标宋_GBK"/>
                <w:i w:val="0"/>
                <w:iCs w:val="0"/>
                <w:color w:val="000000"/>
                <w:sz w:val="36"/>
                <w:szCs w:val="36"/>
                <w:u w:val="none"/>
              </w:rPr>
            </w:pPr>
            <w:r>
              <w:rPr>
                <w:rFonts w:hint="eastAsia" w:ascii="方正小标宋_GBK" w:hAnsi="方正小标宋_GBK" w:eastAsia="方正小标宋_GBK" w:cs="方正小标宋_GBK"/>
                <w:i w:val="0"/>
                <w:iCs w:val="0"/>
                <w:color w:val="000000"/>
                <w:kern w:val="0"/>
                <w:sz w:val="36"/>
                <w:szCs w:val="36"/>
                <w:u w:val="none"/>
                <w:lang w:val="en-US" w:eastAsia="zh-CN" w:bidi="ar"/>
              </w:rPr>
              <w:t>部门政府采购预算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1" w:hRule="atLeast"/>
        </w:trPr>
        <w:tc>
          <w:tcPr>
            <w:tcW w:w="15420" w:type="dxa"/>
            <w:gridSpan w:val="16"/>
            <w:tcBorders>
              <w:top w:val="nil"/>
              <w:left w:val="nil"/>
              <w:bottom w:val="nil"/>
              <w:right w:val="nil"/>
            </w:tcBorders>
            <w:shd w:val="clear" w:color="auto" w:fill="auto"/>
            <w:vAlign w:val="bottom"/>
          </w:tcPr>
          <w:p>
            <w:pPr>
              <w:keepNext w:val="0"/>
              <w:keepLines w:val="0"/>
              <w:widowControl/>
              <w:suppressLineNumbers w:val="0"/>
              <w:jc w:val="left"/>
              <w:textAlignment w:val="bottom"/>
              <w:rPr>
                <w:rFonts w:hint="eastAsia" w:ascii="方正小标宋_GBK" w:hAnsi="方正小标宋_GBK" w:eastAsia="方正小标宋_GBK" w:cs="方正小标宋_GBK"/>
                <w:i w:val="0"/>
                <w:iCs w:val="0"/>
                <w:color w:val="000000"/>
                <w:sz w:val="24"/>
                <w:szCs w:val="24"/>
                <w:u w:val="none"/>
              </w:rPr>
            </w:pPr>
            <w:r>
              <w:rPr>
                <w:rFonts w:hint="eastAsia" w:ascii="方正小标宋_GBK" w:hAnsi="方正小标宋_GBK" w:eastAsia="方正小标宋_GBK" w:cs="方正小标宋_GBK"/>
                <w:i w:val="0"/>
                <w:iCs w:val="0"/>
                <w:color w:val="000000"/>
                <w:kern w:val="0"/>
                <w:sz w:val="24"/>
                <w:szCs w:val="24"/>
                <w:u w:val="none"/>
                <w:lang w:val="en-US" w:eastAsia="zh-CN" w:bidi="ar"/>
              </w:rPr>
              <w:t xml:space="preserve">903隆尧县消防救援大队                                                                                               </w:t>
            </w:r>
            <w:r>
              <w:rPr>
                <w:rFonts w:hint="eastAsia" w:ascii="仿宋" w:hAnsi="仿宋" w:eastAsia="仿宋" w:cs="仿宋"/>
                <w:i w:val="0"/>
                <w:iCs w:val="0"/>
                <w:color w:val="000000"/>
                <w:kern w:val="0"/>
                <w:sz w:val="24"/>
                <w:szCs w:val="24"/>
                <w:u w:val="none"/>
                <w:lang w:val="en-US" w:eastAsia="zh-CN" w:bidi="ar"/>
              </w:rPr>
              <w:t xml:space="preserve"> 单位：万元  </w:t>
            </w:r>
            <w:r>
              <w:rPr>
                <w:rFonts w:hint="eastAsia" w:ascii="方正小标宋_GBK" w:hAnsi="方正小标宋_GBK" w:eastAsia="方正小标宋_GBK" w:cs="方正小标宋_GBK"/>
                <w:i w:val="0"/>
                <w:iCs w:val="0"/>
                <w:color w:val="000000"/>
                <w:kern w:val="0"/>
                <w:sz w:val="24"/>
                <w:szCs w:val="24"/>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政府采购项目来源</w:t>
            </w:r>
          </w:p>
        </w:tc>
        <w:tc>
          <w:tcPr>
            <w:tcW w:w="95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采购物品名称</w:t>
            </w:r>
          </w:p>
        </w:tc>
        <w:tc>
          <w:tcPr>
            <w:tcW w:w="95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政府采购目录序号</w:t>
            </w:r>
          </w:p>
        </w:tc>
        <w:tc>
          <w:tcPr>
            <w:tcW w:w="95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计量 </w:t>
            </w:r>
          </w:p>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w:t>
            </w:r>
          </w:p>
        </w:tc>
        <w:tc>
          <w:tcPr>
            <w:tcW w:w="95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w:t>
            </w:r>
          </w:p>
        </w:tc>
        <w:tc>
          <w:tcPr>
            <w:tcW w:w="95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单价</w:t>
            </w:r>
          </w:p>
        </w:tc>
        <w:tc>
          <w:tcPr>
            <w:tcW w:w="0" w:type="auto"/>
            <w:gridSpan w:val="8"/>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政府采购金额（当年部门预算安排资金）</w:t>
            </w:r>
          </w:p>
        </w:tc>
        <w:tc>
          <w:tcPr>
            <w:tcW w:w="9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2022年  预留中  小微企  业份额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项目名称</w:t>
            </w:r>
          </w:p>
        </w:tc>
        <w:tc>
          <w:tcPr>
            <w:tcW w:w="9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预算</w:t>
            </w:r>
          </w:p>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w:t>
            </w:r>
          </w:p>
        </w:tc>
        <w:tc>
          <w:tcPr>
            <w:tcW w:w="95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95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95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95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95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9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合计</w:t>
            </w:r>
          </w:p>
        </w:tc>
        <w:tc>
          <w:tcPr>
            <w:tcW w:w="9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一般公共预算拨款</w:t>
            </w:r>
          </w:p>
        </w:tc>
        <w:tc>
          <w:tcPr>
            <w:tcW w:w="9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基金预算拨款</w:t>
            </w:r>
          </w:p>
        </w:tc>
        <w:tc>
          <w:tcPr>
            <w:tcW w:w="9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国有资本经营预算拨款</w:t>
            </w:r>
          </w:p>
        </w:tc>
        <w:tc>
          <w:tcPr>
            <w:tcW w:w="9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财政专户核拨</w:t>
            </w:r>
          </w:p>
        </w:tc>
        <w:tc>
          <w:tcPr>
            <w:tcW w:w="9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    资金</w:t>
            </w:r>
          </w:p>
        </w:tc>
        <w:tc>
          <w:tcPr>
            <w:tcW w:w="9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财政拨    款结转</w:t>
            </w:r>
          </w:p>
        </w:tc>
        <w:tc>
          <w:tcPr>
            <w:tcW w:w="9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非财政    拨款结    转结余</w:t>
            </w: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r>
    </w:tbl>
    <w:p>
      <w:pPr>
        <w:numPr>
          <w:ilvl w:val="0"/>
          <w:numId w:val="0"/>
        </w:numPr>
        <w:spacing w:line="500" w:lineRule="exact"/>
        <w:jc w:val="left"/>
        <w:rPr>
          <w:rFonts w:hint="default" w:ascii="仿宋" w:hAnsi="仿宋" w:eastAsia="仿宋" w:cs="仿宋"/>
          <w:b w:val="0"/>
          <w:color w:val="444444"/>
          <w:kern w:val="0"/>
          <w:sz w:val="32"/>
          <w:szCs w:val="32"/>
          <w:lang w:val="en-US" w:eastAsia="zh-CN" w:bidi="ar-SA"/>
        </w:rPr>
      </w:pPr>
    </w:p>
    <w:p>
      <w:pPr>
        <w:numPr>
          <w:ilvl w:val="0"/>
          <w:numId w:val="0"/>
        </w:numPr>
        <w:autoSpaceDE w:val="0"/>
        <w:autoSpaceDN w:val="0"/>
        <w:adjustRightInd w:val="0"/>
        <w:ind w:leftChars="200"/>
        <w:jc w:val="left"/>
        <w:rPr>
          <w:rFonts w:hint="eastAsia" w:ascii="仿宋" w:hAnsi="仿宋" w:eastAsia="仿宋" w:cs="仿宋"/>
          <w:sz w:val="28"/>
          <w:szCs w:val="28"/>
        </w:rPr>
      </w:pPr>
      <w:r>
        <w:rPr>
          <w:rFonts w:hint="eastAsia" w:ascii="仿宋" w:hAnsi="仿宋" w:eastAsia="仿宋" w:cs="仿宋"/>
          <w:sz w:val="28"/>
          <w:szCs w:val="28"/>
        </w:rPr>
        <w:t>注：同一采购目录序号的物品，其单价会因配置规格不同而变动，均符合资产配置标准。涉密采购事项按照相关规定执行。</w:t>
      </w:r>
    </w:p>
    <w:p>
      <w:pPr>
        <w:numPr>
          <w:ilvl w:val="0"/>
          <w:numId w:val="0"/>
        </w:numPr>
        <w:autoSpaceDE w:val="0"/>
        <w:autoSpaceDN w:val="0"/>
        <w:adjustRightInd w:val="0"/>
        <w:ind w:leftChars="200"/>
        <w:jc w:val="left"/>
        <w:rPr>
          <w:rFonts w:hint="eastAsia" w:ascii="仿宋" w:hAnsi="仿宋" w:eastAsia="仿宋" w:cs="仿宋"/>
          <w:sz w:val="28"/>
          <w:szCs w:val="28"/>
        </w:rPr>
      </w:pPr>
      <w:r>
        <w:rPr>
          <w:rFonts w:hint="eastAsia" w:ascii="仿宋" w:hAnsi="仿宋" w:eastAsia="仿宋" w:cs="仿宋"/>
          <w:sz w:val="28"/>
          <w:szCs w:val="28"/>
        </w:rPr>
        <w:t>注：无政府采购预算，空表列示。</w:t>
      </w:r>
    </w:p>
    <w:p>
      <w:pPr>
        <w:numPr>
          <w:ilvl w:val="0"/>
          <w:numId w:val="1"/>
        </w:numPr>
        <w:autoSpaceDE w:val="0"/>
        <w:autoSpaceDN w:val="0"/>
        <w:adjustRightInd w:val="0"/>
        <w:ind w:left="0" w:leftChars="0"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国有资产信息</w:t>
      </w:r>
    </w:p>
    <w:p>
      <w:pPr>
        <w:numPr>
          <w:ilvl w:val="0"/>
          <w:numId w:val="0"/>
        </w:numPr>
        <w:spacing w:line="500" w:lineRule="exact"/>
        <w:ind w:firstLine="640" w:firstLineChars="200"/>
        <w:jc w:val="left"/>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隆尧县消防救援大队（含所属单位）上年末固定资产金额为0.00万元（详见下表）。本年度拟购置固定资产总额为0.00万元，已按要求列入政府采购预算，详见政府采购预算表。</w:t>
      </w:r>
    </w:p>
    <w:tbl>
      <w:tblPr>
        <w:tblStyle w:val="11"/>
        <w:tblW w:w="133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418"/>
        <w:gridCol w:w="3151"/>
        <w:gridCol w:w="475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3320" w:type="dxa"/>
            <w:gridSpan w:val="3"/>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ascii="方正小标宋_GBK" w:hAnsi="方正小标宋_GBK" w:eastAsia="方正小标宋_GBK" w:cs="方正小标宋_GBK"/>
                <w:i w:val="0"/>
                <w:iCs w:val="0"/>
                <w:color w:val="000000"/>
                <w:sz w:val="36"/>
                <w:szCs w:val="36"/>
                <w:u w:val="none"/>
              </w:rPr>
            </w:pPr>
            <w:r>
              <w:rPr>
                <w:rFonts w:hint="eastAsia" w:ascii="方正小标宋_GBK" w:hAnsi="方正小标宋_GBK" w:eastAsia="方正小标宋_GBK" w:cs="方正小标宋_GBK"/>
                <w:i w:val="0"/>
                <w:iCs w:val="0"/>
                <w:color w:val="000000"/>
                <w:kern w:val="0"/>
                <w:sz w:val="36"/>
                <w:szCs w:val="36"/>
                <w:u w:val="none"/>
                <w:lang w:val="en-US" w:eastAsia="zh-CN" w:bidi="ar"/>
              </w:rPr>
              <w:t>部门固定资产占用情况表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4" w:hRule="atLeast"/>
        </w:trPr>
        <w:tc>
          <w:tcPr>
            <w:tcW w:w="13320" w:type="dxa"/>
            <w:gridSpan w:val="3"/>
            <w:tcBorders>
              <w:top w:val="nil"/>
              <w:left w:val="nil"/>
              <w:bottom w:val="nil"/>
              <w:right w:val="nil"/>
            </w:tcBorders>
            <w:shd w:val="clear" w:color="auto" w:fill="auto"/>
            <w:vAlign w:val="bottom"/>
          </w:tcPr>
          <w:p>
            <w:pPr>
              <w:keepNext w:val="0"/>
              <w:keepLines w:val="0"/>
              <w:widowControl/>
              <w:suppressLineNumbers w:val="0"/>
              <w:jc w:val="left"/>
              <w:textAlignment w:val="bottom"/>
              <w:rPr>
                <w:rFonts w:hint="eastAsia" w:ascii="方正小标宋_GBK" w:hAnsi="方正小标宋_GBK" w:eastAsia="方正小标宋_GBK" w:cs="方正小标宋_GBK"/>
                <w:i w:val="0"/>
                <w:iCs w:val="0"/>
                <w:color w:val="000000"/>
                <w:sz w:val="24"/>
                <w:szCs w:val="24"/>
                <w:u w:val="none"/>
              </w:rPr>
            </w:pPr>
            <w:r>
              <w:rPr>
                <w:rFonts w:hint="eastAsia" w:ascii="方正小标宋_GBK" w:hAnsi="方正小标宋_GBK" w:eastAsia="方正小标宋_GBK" w:cs="方正小标宋_GBK"/>
                <w:i w:val="0"/>
                <w:iCs w:val="0"/>
                <w:color w:val="000000"/>
                <w:kern w:val="0"/>
                <w:sz w:val="24"/>
                <w:szCs w:val="24"/>
                <w:u w:val="none"/>
                <w:lang w:val="en-US" w:eastAsia="zh-CN" w:bidi="ar"/>
              </w:rPr>
              <w:t xml:space="preserve">903隆尧县消防救援大队                                                                   截止时间：2021-12-31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7" w:hRule="atLeast"/>
        </w:trPr>
        <w:tc>
          <w:tcPr>
            <w:tcW w:w="5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项目</w:t>
            </w:r>
          </w:p>
        </w:tc>
        <w:tc>
          <w:tcPr>
            <w:tcW w:w="3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w:t>
            </w:r>
          </w:p>
        </w:tc>
        <w:tc>
          <w:tcPr>
            <w:tcW w:w="47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41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both"/>
              <w:rPr>
                <w:rFonts w:hint="eastAsia" w:ascii="宋体" w:hAnsi="宋体" w:eastAsia="宋体" w:cs="宋体"/>
                <w:i w:val="0"/>
                <w:iCs w:val="0"/>
                <w:color w:val="000000"/>
                <w:sz w:val="24"/>
                <w:szCs w:val="24"/>
                <w:u w:val="none"/>
              </w:rPr>
            </w:pPr>
          </w:p>
        </w:tc>
        <w:tc>
          <w:tcPr>
            <w:tcW w:w="315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both"/>
              <w:rPr>
                <w:rFonts w:hint="eastAsia" w:ascii="宋体" w:hAnsi="宋体" w:eastAsia="宋体" w:cs="宋体"/>
                <w:i w:val="0"/>
                <w:iCs w:val="0"/>
                <w:color w:val="000000"/>
                <w:sz w:val="24"/>
                <w:szCs w:val="24"/>
                <w:u w:val="none"/>
              </w:rPr>
            </w:pPr>
          </w:p>
        </w:tc>
        <w:tc>
          <w:tcPr>
            <w:tcW w:w="475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both"/>
              <w:rPr>
                <w:rFonts w:hint="eastAsia" w:ascii="宋体" w:hAnsi="宋体" w:eastAsia="宋体" w:cs="宋体"/>
                <w:i w:val="0"/>
                <w:iCs w:val="0"/>
                <w:color w:val="000000"/>
                <w:sz w:val="24"/>
                <w:szCs w:val="24"/>
                <w:u w:val="none"/>
              </w:rPr>
            </w:pPr>
          </w:p>
        </w:tc>
      </w:tr>
    </w:tbl>
    <w:p>
      <w:pPr>
        <w:numPr>
          <w:ilvl w:val="0"/>
          <w:numId w:val="0"/>
        </w:numPr>
        <w:autoSpaceDE w:val="0"/>
        <w:autoSpaceDN w:val="0"/>
        <w:adjustRightInd w:val="0"/>
        <w:ind w:leftChars="20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注：无固定资产占用情况，空表列示。</w:t>
      </w:r>
    </w:p>
    <w:p>
      <w:pPr>
        <w:numPr>
          <w:ilvl w:val="0"/>
          <w:numId w:val="1"/>
        </w:numPr>
        <w:autoSpaceDE w:val="0"/>
        <w:autoSpaceDN w:val="0"/>
        <w:adjustRightInd w:val="0"/>
        <w:ind w:left="0" w:leftChars="0"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名词解释</w:t>
      </w:r>
    </w:p>
    <w:p>
      <w:pPr>
        <w:tabs>
          <w:tab w:val="left" w:pos="11490"/>
        </w:tabs>
        <w:ind w:firstLine="640" w:firstLineChars="200"/>
        <w:rPr>
          <w:rFonts w:hint="eastAsia" w:ascii="仿宋" w:hAnsi="仿宋" w:eastAsia="仿宋" w:cs="仿宋"/>
          <w:sz w:val="32"/>
          <w:szCs w:val="32"/>
        </w:rPr>
      </w:pPr>
      <w:r>
        <w:rPr>
          <w:rFonts w:hint="eastAsia" w:ascii="仿宋" w:hAnsi="仿宋" w:eastAsia="仿宋" w:cs="仿宋"/>
          <w:b/>
          <w:sz w:val="32"/>
          <w:szCs w:val="32"/>
        </w:rPr>
        <w:t>1、一般公共预算拨款收入：</w:t>
      </w:r>
      <w:r>
        <w:rPr>
          <w:rFonts w:hint="eastAsia" w:ascii="仿宋" w:hAnsi="仿宋" w:eastAsia="仿宋" w:cs="仿宋"/>
          <w:sz w:val="32"/>
          <w:szCs w:val="32"/>
        </w:rPr>
        <w:t>指</w:t>
      </w:r>
      <w:r>
        <w:rPr>
          <w:rFonts w:hint="eastAsia" w:ascii="仿宋" w:hAnsi="仿宋" w:eastAsia="仿宋" w:cs="仿宋"/>
          <w:sz w:val="32"/>
          <w:szCs w:val="32"/>
          <w:lang w:val="en-US" w:eastAsia="zh-CN"/>
        </w:rPr>
        <w:t>县</w:t>
      </w:r>
      <w:r>
        <w:rPr>
          <w:rFonts w:hint="eastAsia" w:ascii="仿宋" w:hAnsi="仿宋" w:eastAsia="仿宋" w:cs="仿宋"/>
          <w:sz w:val="32"/>
          <w:szCs w:val="32"/>
        </w:rPr>
        <w:t>级财政当年拨付的资金。</w:t>
      </w:r>
    </w:p>
    <w:p>
      <w:pPr>
        <w:tabs>
          <w:tab w:val="left" w:pos="11490"/>
        </w:tabs>
        <w:ind w:firstLine="640" w:firstLineChars="200"/>
        <w:rPr>
          <w:rFonts w:hint="eastAsia" w:ascii="仿宋" w:hAnsi="仿宋" w:eastAsia="仿宋" w:cs="仿宋"/>
          <w:sz w:val="32"/>
          <w:szCs w:val="32"/>
        </w:rPr>
      </w:pPr>
      <w:r>
        <w:rPr>
          <w:rFonts w:hint="eastAsia" w:ascii="仿宋" w:hAnsi="仿宋" w:eastAsia="仿宋" w:cs="仿宋"/>
          <w:b/>
          <w:sz w:val="32"/>
          <w:szCs w:val="32"/>
        </w:rPr>
        <w:t>2、事业收入：</w:t>
      </w:r>
      <w:r>
        <w:rPr>
          <w:rFonts w:hint="eastAsia" w:ascii="仿宋" w:hAnsi="仿宋" w:eastAsia="仿宋" w:cs="仿宋"/>
          <w:sz w:val="32"/>
          <w:szCs w:val="32"/>
        </w:rPr>
        <w:t>指事业单位开展专业业务活动及辅助活动所取得的收入。</w:t>
      </w:r>
    </w:p>
    <w:p>
      <w:pPr>
        <w:tabs>
          <w:tab w:val="left" w:pos="11490"/>
        </w:tabs>
        <w:ind w:firstLine="640" w:firstLineChars="200"/>
        <w:rPr>
          <w:rFonts w:hint="eastAsia" w:ascii="仿宋" w:hAnsi="仿宋" w:eastAsia="仿宋" w:cs="仿宋"/>
          <w:b/>
          <w:sz w:val="32"/>
          <w:szCs w:val="32"/>
        </w:rPr>
      </w:pPr>
      <w:r>
        <w:rPr>
          <w:rFonts w:hint="eastAsia" w:ascii="仿宋" w:hAnsi="仿宋" w:eastAsia="仿宋" w:cs="仿宋"/>
          <w:b/>
          <w:sz w:val="32"/>
          <w:szCs w:val="32"/>
        </w:rPr>
        <w:t>3、其他收入：</w:t>
      </w:r>
      <w:r>
        <w:rPr>
          <w:rFonts w:hint="eastAsia" w:ascii="仿宋" w:hAnsi="仿宋" w:eastAsia="仿宋" w:cs="仿宋"/>
          <w:sz w:val="32"/>
          <w:szCs w:val="32"/>
        </w:rPr>
        <w:t>指除“一般公共预算拨款收入”、“事业收入”等以外的收入。主要是按规定动用的租房收入、存款利息收入等。</w:t>
      </w:r>
    </w:p>
    <w:p>
      <w:pPr>
        <w:tabs>
          <w:tab w:val="left" w:pos="11490"/>
        </w:tabs>
        <w:ind w:firstLine="640" w:firstLineChars="200"/>
        <w:rPr>
          <w:rFonts w:hint="eastAsia" w:ascii="仿宋" w:hAnsi="仿宋" w:eastAsia="仿宋" w:cs="仿宋"/>
          <w:sz w:val="32"/>
          <w:szCs w:val="32"/>
        </w:rPr>
      </w:pPr>
      <w:r>
        <w:rPr>
          <w:rFonts w:hint="eastAsia" w:ascii="仿宋" w:hAnsi="仿宋" w:eastAsia="仿宋" w:cs="仿宋"/>
          <w:b/>
          <w:sz w:val="32"/>
          <w:szCs w:val="32"/>
        </w:rPr>
        <w:t>4、基本支出：</w:t>
      </w:r>
      <w:r>
        <w:rPr>
          <w:rFonts w:hint="eastAsia" w:ascii="仿宋" w:hAnsi="仿宋" w:eastAsia="仿宋" w:cs="仿宋"/>
          <w:sz w:val="32"/>
          <w:szCs w:val="32"/>
        </w:rPr>
        <w:t>指为保障机构正常运转、完成日常工作任务而发生的人员支出和公用支出。</w:t>
      </w:r>
    </w:p>
    <w:p>
      <w:pPr>
        <w:tabs>
          <w:tab w:val="left" w:pos="11490"/>
        </w:tabs>
        <w:ind w:firstLine="640" w:firstLineChars="200"/>
        <w:rPr>
          <w:rFonts w:hint="eastAsia" w:ascii="仿宋" w:hAnsi="仿宋" w:eastAsia="仿宋" w:cs="仿宋"/>
          <w:sz w:val="32"/>
          <w:szCs w:val="32"/>
        </w:rPr>
      </w:pPr>
      <w:r>
        <w:rPr>
          <w:rFonts w:hint="eastAsia" w:ascii="仿宋" w:hAnsi="仿宋" w:eastAsia="仿宋" w:cs="仿宋"/>
          <w:b/>
          <w:sz w:val="32"/>
          <w:szCs w:val="32"/>
        </w:rPr>
        <w:t>5、项目支出：</w:t>
      </w:r>
      <w:r>
        <w:rPr>
          <w:rFonts w:hint="eastAsia" w:ascii="仿宋" w:hAnsi="仿宋" w:eastAsia="仿宋" w:cs="仿宋"/>
          <w:sz w:val="32"/>
          <w:szCs w:val="32"/>
        </w:rPr>
        <w:t>指在基本支出之外为完成特定行政任务和事业发展目标所发生的支出。</w:t>
      </w:r>
    </w:p>
    <w:p>
      <w:pPr>
        <w:tabs>
          <w:tab w:val="left" w:pos="11490"/>
        </w:tabs>
        <w:ind w:firstLine="640" w:firstLineChars="200"/>
        <w:rPr>
          <w:rFonts w:hint="eastAsia" w:ascii="仿宋" w:hAnsi="仿宋" w:eastAsia="仿宋" w:cs="仿宋"/>
          <w:sz w:val="32"/>
          <w:szCs w:val="32"/>
        </w:rPr>
      </w:pPr>
      <w:r>
        <w:rPr>
          <w:rFonts w:hint="eastAsia" w:ascii="仿宋" w:hAnsi="仿宋" w:eastAsia="仿宋" w:cs="仿宋"/>
          <w:b/>
          <w:sz w:val="32"/>
          <w:szCs w:val="32"/>
        </w:rPr>
        <w:t>6、上缴上级支出：</w:t>
      </w:r>
      <w:r>
        <w:rPr>
          <w:rFonts w:hint="eastAsia" w:ascii="仿宋" w:hAnsi="仿宋" w:eastAsia="仿宋" w:cs="仿宋"/>
          <w:sz w:val="32"/>
          <w:szCs w:val="32"/>
        </w:rPr>
        <w:t>指下级单位上缴上级的支出。</w:t>
      </w:r>
    </w:p>
    <w:p>
      <w:pPr>
        <w:tabs>
          <w:tab w:val="left" w:pos="11490"/>
        </w:tabs>
        <w:ind w:firstLine="640" w:firstLineChars="200"/>
        <w:rPr>
          <w:rFonts w:hint="eastAsia" w:ascii="仿宋" w:hAnsi="仿宋" w:eastAsia="仿宋" w:cs="仿宋"/>
          <w:sz w:val="32"/>
          <w:szCs w:val="32"/>
        </w:rPr>
      </w:pPr>
      <w:r>
        <w:rPr>
          <w:rFonts w:hint="eastAsia" w:ascii="仿宋" w:hAnsi="仿宋" w:eastAsia="仿宋" w:cs="仿宋"/>
          <w:b/>
          <w:sz w:val="32"/>
          <w:szCs w:val="32"/>
        </w:rPr>
        <w:t>7、“三公”经费：</w:t>
      </w:r>
      <w:r>
        <w:rPr>
          <w:rFonts w:hint="eastAsia" w:ascii="仿宋" w:hAnsi="仿宋" w:eastAsia="仿宋" w:cs="仿宋"/>
          <w:sz w:val="32"/>
          <w:szCs w:val="32"/>
        </w:rPr>
        <w:t>纳入</w:t>
      </w:r>
      <w:r>
        <w:rPr>
          <w:rFonts w:hint="eastAsia" w:ascii="仿宋" w:hAnsi="仿宋" w:eastAsia="仿宋" w:cs="仿宋"/>
          <w:sz w:val="32"/>
          <w:szCs w:val="32"/>
          <w:lang w:val="en-US" w:eastAsia="zh-CN"/>
        </w:rPr>
        <w:t>县</w:t>
      </w:r>
      <w:r>
        <w:rPr>
          <w:rFonts w:hint="eastAsia" w:ascii="仿宋" w:hAnsi="仿宋" w:eastAsia="仿宋" w:cs="仿宋"/>
          <w:sz w:val="32"/>
          <w:szCs w:val="32"/>
        </w:rPr>
        <w:t>级财政预算管理的“三公”经费，是指</w:t>
      </w:r>
      <w:r>
        <w:rPr>
          <w:rFonts w:hint="eastAsia" w:ascii="仿宋" w:hAnsi="仿宋" w:eastAsia="仿宋" w:cs="仿宋"/>
          <w:sz w:val="32"/>
          <w:szCs w:val="32"/>
          <w:lang w:val="en-US" w:eastAsia="zh-CN"/>
        </w:rPr>
        <w:t>县</w:t>
      </w:r>
      <w:r>
        <w:rPr>
          <w:rFonts w:hint="eastAsia" w:ascii="仿宋" w:hAnsi="仿宋"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tabs>
          <w:tab w:val="left" w:pos="11490"/>
        </w:tabs>
        <w:ind w:firstLine="640" w:firstLineChars="200"/>
        <w:rPr>
          <w:rFonts w:hint="eastAsia" w:ascii="仿宋" w:hAnsi="仿宋" w:eastAsia="仿宋" w:cs="仿宋"/>
          <w:sz w:val="32"/>
          <w:szCs w:val="32"/>
        </w:rPr>
      </w:pPr>
      <w:r>
        <w:rPr>
          <w:rFonts w:hint="eastAsia" w:ascii="仿宋" w:hAnsi="仿宋" w:eastAsia="仿宋" w:cs="仿宋"/>
          <w:b/>
          <w:sz w:val="32"/>
          <w:szCs w:val="32"/>
        </w:rPr>
        <w:t>8、机关运行费：</w:t>
      </w:r>
      <w:r>
        <w:rPr>
          <w:rFonts w:hint="eastAsia" w:ascii="仿宋" w:hAnsi="仿宋" w:eastAsia="仿宋" w:cs="仿宋"/>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tabs>
          <w:tab w:val="left" w:pos="11490"/>
        </w:tabs>
        <w:ind w:firstLine="640" w:firstLineChars="200"/>
        <w:rPr>
          <w:rFonts w:hint="eastAsia" w:ascii="仿宋" w:hAnsi="仿宋" w:eastAsia="仿宋" w:cs="仿宋"/>
          <w:sz w:val="32"/>
          <w:szCs w:val="32"/>
        </w:rPr>
      </w:pPr>
      <w:r>
        <w:rPr>
          <w:rFonts w:hint="eastAsia" w:ascii="仿宋" w:hAnsi="仿宋" w:eastAsia="仿宋" w:cs="仿宋"/>
          <w:b/>
          <w:sz w:val="32"/>
          <w:szCs w:val="32"/>
        </w:rPr>
        <w:t>9、上年结转：</w:t>
      </w:r>
      <w:r>
        <w:rPr>
          <w:rFonts w:hint="eastAsia" w:ascii="仿宋" w:hAnsi="仿宋" w:eastAsia="仿宋" w:cs="仿宋"/>
          <w:sz w:val="32"/>
          <w:szCs w:val="32"/>
        </w:rPr>
        <w:t>指以前年度尚未完成、结转到本年仍按原规定用途继续使用的资金。</w:t>
      </w:r>
    </w:p>
    <w:p>
      <w:pPr>
        <w:autoSpaceDE w:val="0"/>
        <w:autoSpaceDN w:val="0"/>
        <w:adjustRightInd w:val="0"/>
        <w:ind w:firstLine="640" w:firstLineChars="200"/>
        <w:jc w:val="left"/>
        <w:rPr>
          <w:rFonts w:hint="eastAsia" w:ascii="仿宋" w:hAnsi="仿宋" w:eastAsia="仿宋" w:cs="仿宋"/>
          <w:sz w:val="32"/>
          <w:szCs w:val="32"/>
        </w:rPr>
      </w:pPr>
      <w:r>
        <w:rPr>
          <w:rFonts w:hint="eastAsia" w:ascii="仿宋" w:hAnsi="仿宋" w:eastAsia="仿宋" w:cs="仿宋"/>
          <w:sz w:val="32"/>
          <w:szCs w:val="32"/>
        </w:rPr>
        <w:t>九、其他需要说明的事项</w:t>
      </w:r>
    </w:p>
    <w:p>
      <w:pPr>
        <w:ind w:firstLine="640" w:firstLineChars="200"/>
        <w:rPr>
          <w:rFonts w:hint="eastAsia" w:ascii="仿宋" w:hAnsi="仿宋" w:eastAsia="仿宋" w:cs="仿宋"/>
          <w:sz w:val="32"/>
          <w:szCs w:val="32"/>
          <w:lang w:eastAsia="zh-CN"/>
        </w:rPr>
        <w:sectPr>
          <w:pgSz w:w="16839" w:h="11907" w:orient="landscape"/>
          <w:pgMar w:top="1304" w:right="1985" w:bottom="1304" w:left="1134" w:header="851" w:footer="992" w:gutter="0"/>
          <w:cols w:space="720" w:num="1"/>
          <w:docGrid w:type="linesAndChars" w:linePitch="312" w:charSpace="0"/>
        </w:sectPr>
      </w:pPr>
      <w:r>
        <w:rPr>
          <w:rFonts w:hint="eastAsia" w:ascii="仿宋" w:hAnsi="仿宋" w:eastAsia="仿宋" w:cs="仿宋"/>
          <w:sz w:val="32"/>
          <w:szCs w:val="32"/>
        </w:rPr>
        <w:t>我部门无其他需要说明的事项</w:t>
      </w:r>
      <w:r>
        <w:rPr>
          <w:rFonts w:hint="eastAsia" w:ascii="仿宋" w:hAnsi="仿宋" w:eastAsia="仿宋" w:cs="仿宋"/>
          <w:sz w:val="32"/>
          <w:szCs w:val="32"/>
          <w:lang w:eastAsia="zh-CN"/>
        </w:rPr>
        <w:t>。</w:t>
      </w:r>
    </w:p>
    <w:bookmarkEnd w:id="0"/>
    <w:p>
      <w:pPr>
        <w:autoSpaceDE w:val="0"/>
        <w:autoSpaceDN w:val="0"/>
        <w:adjustRightInd w:val="0"/>
        <w:jc w:val="left"/>
      </w:pPr>
    </w:p>
    <w:sectPr>
      <w:headerReference r:id="rId7" w:type="first"/>
      <w:footerReference r:id="rId10" w:type="first"/>
      <w:headerReference r:id="rId5" w:type="default"/>
      <w:footerReference r:id="rId8" w:type="default"/>
      <w:headerReference r:id="rId6" w:type="even"/>
      <w:footerReference r:id="rId9"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onsolas">
    <w:panose1 w:val="020B0609020204030204"/>
    <w:charset w:val="00"/>
    <w:family w:val="auto"/>
    <w:pitch w:val="default"/>
    <w:sig w:usb0="E00006FF" w:usb1="0000FCFF" w:usb2="00000001" w:usb3="00000000" w:csb0="6000019F" w:csb1="DFD70000"/>
  </w:font>
  <w:font w:name="仿宋">
    <w:panose1 w:val="02010609060101010101"/>
    <w:charset w:val="86"/>
    <w:family w:val="auto"/>
    <w:pitch w:val="default"/>
    <w:sig w:usb0="800002BF" w:usb1="38CF7CFA" w:usb2="00000016" w:usb3="00000000" w:csb0="00040001" w:csb1="00000000"/>
  </w:font>
  <w:font w:name="Microsoft Sans Serif">
    <w:panose1 w:val="020B0604020202020204"/>
    <w:charset w:val="00"/>
    <w:family w:val="auto"/>
    <w:pitch w:val="default"/>
    <w:sig w:usb0="E5002EFF" w:usb1="C000605B" w:usb2="00000029" w:usb3="00000000" w:csb0="200101FF" w:csb1="2028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8420" cy="278765"/>
              <wp:effectExtent l="0" t="0" r="0" b="0"/>
              <wp:wrapNone/>
              <wp:docPr id="1" name="文本框 7"/>
              <wp:cNvGraphicFramePr/>
              <a:graphic xmlns:a="http://schemas.openxmlformats.org/drawingml/2006/main">
                <a:graphicData uri="http://schemas.microsoft.com/office/word/2010/wordprocessingShape">
                  <wps:wsp>
                    <wps:cNvSpPr txBox="1"/>
                    <wps:spPr>
                      <a:xfrm>
                        <a:off x="0" y="0"/>
                        <a:ext cx="58420" cy="278765"/>
                      </a:xfrm>
                      <a:prstGeom prst="rect">
                        <a:avLst/>
                      </a:prstGeom>
                      <a:noFill/>
                      <a:ln>
                        <a:noFill/>
                      </a:ln>
                    </wps:spPr>
                    <wps:txbx>
                      <w:txbxContent>
                        <w:p>
                          <w:pPr>
                            <w:pStyle w:val="5"/>
                            <w:rPr>
                              <w:rStyle w:val="14"/>
                            </w:rPr>
                          </w:pPr>
                          <w:r>
                            <w:rPr>
                              <w:rStyle w:val="14"/>
                            </w:rPr>
                            <w:fldChar w:fldCharType="begin"/>
                          </w:r>
                          <w:r>
                            <w:rPr>
                              <w:rStyle w:val="14"/>
                            </w:rPr>
                            <w:instrText xml:space="preserve">PAGE  </w:instrText>
                          </w:r>
                          <w:r>
                            <w:rPr>
                              <w:rStyle w:val="14"/>
                            </w:rPr>
                            <w:fldChar w:fldCharType="separate"/>
                          </w:r>
                          <w:r>
                            <w:rPr>
                              <w:rStyle w:val="14"/>
                            </w:rPr>
                            <w:t>4</w:t>
                          </w:r>
                          <w:r>
                            <w:rPr>
                              <w:rStyle w:val="14"/>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21.95pt;width:4.6pt;mso-position-horizontal:center;mso-position-horizontal-relative:margin;mso-wrap-style:none;z-index:251659264;mso-width-relative:page;mso-height-relative:page;" filled="f" stroked="f" coordsize="21600,21600" o:gfxdata="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Jb4oDrRAAAAAgEAAA8AAAAAAAAAAQAgAAAAIgAAAGRycy9kb3du&#10;cmV2LnhtbFBLAQIUABQAAAAIAIdO4kDu1YL7zQEAAJYDAAAOAAAAAAAAAAEAIAAAACABAABkcnMv&#10;ZTJvRG9jLnhtbFBLBQYAAAAABgAGAFkBAABfBQAAAAA=&#10;">
              <v:fill on="f" focussize="0,0"/>
              <v:stroke on="f"/>
              <v:imagedata o:title=""/>
              <o:lock v:ext="edit" aspectratio="f"/>
              <v:textbox inset="0mm,0mm,0mm,0mm" style="mso-fit-shape-to-text:t;">
                <w:txbxContent>
                  <w:p>
                    <w:pPr>
                      <w:pStyle w:val="5"/>
                      <w:rPr>
                        <w:rStyle w:val="14"/>
                      </w:rPr>
                    </w:pPr>
                    <w:r>
                      <w:rPr>
                        <w:rStyle w:val="14"/>
                      </w:rPr>
                      <w:fldChar w:fldCharType="begin"/>
                    </w:r>
                    <w:r>
                      <w:rPr>
                        <w:rStyle w:val="14"/>
                      </w:rPr>
                      <w:instrText xml:space="preserve">PAGE  </w:instrText>
                    </w:r>
                    <w:r>
                      <w:rPr>
                        <w:rStyle w:val="14"/>
                      </w:rPr>
                      <w:fldChar w:fldCharType="separate"/>
                    </w:r>
                    <w:r>
                      <w:rPr>
                        <w:rStyle w:val="14"/>
                      </w:rPr>
                      <w:t>4</w:t>
                    </w:r>
                    <w:r>
                      <w:rPr>
                        <w:rStyle w:val="1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E15B71F"/>
    <w:multiLevelType w:val="singleLevel"/>
    <w:tmpl w:val="EE15B71F"/>
    <w:lvl w:ilvl="0" w:tentative="0">
      <w:start w:val="1"/>
      <w:numFmt w:val="decimal"/>
      <w:suff w:val="nothing"/>
      <w:lvlText w:val="%1、"/>
      <w:lvlJc w:val="left"/>
    </w:lvl>
  </w:abstractNum>
  <w:abstractNum w:abstractNumId="1">
    <w:nsid w:val="FDEB0CBF"/>
    <w:multiLevelType w:val="singleLevel"/>
    <w:tmpl w:val="FDEB0CBF"/>
    <w:lvl w:ilvl="0" w:tentative="0">
      <w:start w:val="5"/>
      <w:numFmt w:val="chineseCounting"/>
      <w:suff w:val="nothing"/>
      <w:lvlText w:val="%1、"/>
      <w:lvlJc w:val="left"/>
      <w:rPr>
        <w:rFonts w:hint="eastAsia"/>
      </w:rPr>
    </w:lvl>
  </w:abstractNum>
  <w:abstractNum w:abstractNumId="2">
    <w:nsid w:val="760904AB"/>
    <w:multiLevelType w:val="singleLevel"/>
    <w:tmpl w:val="760904AB"/>
    <w:lvl w:ilvl="0" w:tentative="0">
      <w:start w:val="3"/>
      <w:numFmt w:val="chineseCounting"/>
      <w:suff w:val="nothing"/>
      <w:lvlText w:val="（%1）"/>
      <w:lvlJc w:val="left"/>
      <w:rPr>
        <w:rFonts w:hint="eastAsia"/>
      </w:rPr>
    </w:lvl>
  </w:abstractNum>
  <w:abstractNum w:abstractNumId="3">
    <w:nsid w:val="79FE8907"/>
    <w:multiLevelType w:val="multilevel"/>
    <w:tmpl w:val="79FE8907"/>
    <w:lvl w:ilvl="0" w:tentative="0">
      <w:start w:val="1"/>
      <w:numFmt w:val="decimal"/>
      <w:suff w:val="nothing"/>
      <w:lvlText w:val="%1、"/>
      <w:lvlJc w:val="left"/>
      <w:pPr>
        <w:tabs>
          <w:tab w:val="left" w:pos="0"/>
        </w:tabs>
        <w:ind w:left="0" w:firstLine="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RjNjc2ZjNjZGMzM2I1MTU5MWY4MWMxOTBlZmU4ZmEifQ=="/>
  </w:docVars>
  <w:rsids>
    <w:rsidRoot w:val="00F66032"/>
    <w:rsid w:val="00001E74"/>
    <w:rsid w:val="00004436"/>
    <w:rsid w:val="00020BC9"/>
    <w:rsid w:val="00034786"/>
    <w:rsid w:val="00037AF6"/>
    <w:rsid w:val="000405D0"/>
    <w:rsid w:val="0004257D"/>
    <w:rsid w:val="00042F57"/>
    <w:rsid w:val="00054CDC"/>
    <w:rsid w:val="0006483E"/>
    <w:rsid w:val="000658A6"/>
    <w:rsid w:val="000677CB"/>
    <w:rsid w:val="00074766"/>
    <w:rsid w:val="00075D5F"/>
    <w:rsid w:val="0008102F"/>
    <w:rsid w:val="00086527"/>
    <w:rsid w:val="00087AAF"/>
    <w:rsid w:val="000B529B"/>
    <w:rsid w:val="000C3A19"/>
    <w:rsid w:val="000D52E9"/>
    <w:rsid w:val="000E1F02"/>
    <w:rsid w:val="000E617A"/>
    <w:rsid w:val="000E7D3F"/>
    <w:rsid w:val="00104D5C"/>
    <w:rsid w:val="001245BB"/>
    <w:rsid w:val="001251A3"/>
    <w:rsid w:val="00133E19"/>
    <w:rsid w:val="001364F4"/>
    <w:rsid w:val="00145C78"/>
    <w:rsid w:val="00146AA7"/>
    <w:rsid w:val="00160D6E"/>
    <w:rsid w:val="00170CAA"/>
    <w:rsid w:val="00170D1F"/>
    <w:rsid w:val="0018714B"/>
    <w:rsid w:val="0019071F"/>
    <w:rsid w:val="00191B75"/>
    <w:rsid w:val="001A149B"/>
    <w:rsid w:val="001B4EF3"/>
    <w:rsid w:val="001B5B76"/>
    <w:rsid w:val="001D42D2"/>
    <w:rsid w:val="001E0757"/>
    <w:rsid w:val="001F5ED5"/>
    <w:rsid w:val="001F7873"/>
    <w:rsid w:val="001F7B5A"/>
    <w:rsid w:val="00201B2D"/>
    <w:rsid w:val="002174E4"/>
    <w:rsid w:val="00221DDC"/>
    <w:rsid w:val="00237E4E"/>
    <w:rsid w:val="00241FD4"/>
    <w:rsid w:val="00251B12"/>
    <w:rsid w:val="00296113"/>
    <w:rsid w:val="002A673A"/>
    <w:rsid w:val="002B4DAA"/>
    <w:rsid w:val="002C07BE"/>
    <w:rsid w:val="002C5E13"/>
    <w:rsid w:val="002C62BC"/>
    <w:rsid w:val="002C7DF9"/>
    <w:rsid w:val="002D3AEA"/>
    <w:rsid w:val="002D7683"/>
    <w:rsid w:val="002E0EB8"/>
    <w:rsid w:val="002E65C2"/>
    <w:rsid w:val="002F126F"/>
    <w:rsid w:val="002F1536"/>
    <w:rsid w:val="002F3E58"/>
    <w:rsid w:val="0030542C"/>
    <w:rsid w:val="00311B7A"/>
    <w:rsid w:val="00322EC1"/>
    <w:rsid w:val="00343CD7"/>
    <w:rsid w:val="0035104D"/>
    <w:rsid w:val="00372FA3"/>
    <w:rsid w:val="00394A20"/>
    <w:rsid w:val="003A6A7D"/>
    <w:rsid w:val="003B2422"/>
    <w:rsid w:val="003D24CB"/>
    <w:rsid w:val="003D2C83"/>
    <w:rsid w:val="003D417F"/>
    <w:rsid w:val="003D719C"/>
    <w:rsid w:val="003E1B80"/>
    <w:rsid w:val="003F60E9"/>
    <w:rsid w:val="00400F01"/>
    <w:rsid w:val="004056B8"/>
    <w:rsid w:val="00407D08"/>
    <w:rsid w:val="004248B8"/>
    <w:rsid w:val="00424943"/>
    <w:rsid w:val="004315C7"/>
    <w:rsid w:val="0043175C"/>
    <w:rsid w:val="0043380A"/>
    <w:rsid w:val="00436327"/>
    <w:rsid w:val="00437296"/>
    <w:rsid w:val="00451590"/>
    <w:rsid w:val="00451871"/>
    <w:rsid w:val="0045609B"/>
    <w:rsid w:val="00461F76"/>
    <w:rsid w:val="004631FC"/>
    <w:rsid w:val="004706DE"/>
    <w:rsid w:val="00472923"/>
    <w:rsid w:val="00485694"/>
    <w:rsid w:val="0049455E"/>
    <w:rsid w:val="00496109"/>
    <w:rsid w:val="004A6DB1"/>
    <w:rsid w:val="004B0C3A"/>
    <w:rsid w:val="004D3AC8"/>
    <w:rsid w:val="004D5788"/>
    <w:rsid w:val="004E1BD7"/>
    <w:rsid w:val="004E3066"/>
    <w:rsid w:val="004E74CD"/>
    <w:rsid w:val="005024BE"/>
    <w:rsid w:val="005069C1"/>
    <w:rsid w:val="00516094"/>
    <w:rsid w:val="00516E04"/>
    <w:rsid w:val="00545D0E"/>
    <w:rsid w:val="00547611"/>
    <w:rsid w:val="00557CFF"/>
    <w:rsid w:val="00565588"/>
    <w:rsid w:val="00572067"/>
    <w:rsid w:val="00573562"/>
    <w:rsid w:val="005737E8"/>
    <w:rsid w:val="00590ECE"/>
    <w:rsid w:val="00591078"/>
    <w:rsid w:val="005911E4"/>
    <w:rsid w:val="005915C2"/>
    <w:rsid w:val="00592ADD"/>
    <w:rsid w:val="005A2F44"/>
    <w:rsid w:val="005C5CF5"/>
    <w:rsid w:val="00602878"/>
    <w:rsid w:val="00605A11"/>
    <w:rsid w:val="00612D3C"/>
    <w:rsid w:val="00614A29"/>
    <w:rsid w:val="0061668A"/>
    <w:rsid w:val="0062201D"/>
    <w:rsid w:val="006364A7"/>
    <w:rsid w:val="00637255"/>
    <w:rsid w:val="00643AA7"/>
    <w:rsid w:val="00650D4B"/>
    <w:rsid w:val="00653C6B"/>
    <w:rsid w:val="0066346C"/>
    <w:rsid w:val="00673D76"/>
    <w:rsid w:val="00674CD7"/>
    <w:rsid w:val="00681162"/>
    <w:rsid w:val="006854F0"/>
    <w:rsid w:val="0069624B"/>
    <w:rsid w:val="006A0542"/>
    <w:rsid w:val="006A1B2A"/>
    <w:rsid w:val="006B1C4A"/>
    <w:rsid w:val="006B610D"/>
    <w:rsid w:val="006C0E0F"/>
    <w:rsid w:val="006C6991"/>
    <w:rsid w:val="006D2233"/>
    <w:rsid w:val="006E49F5"/>
    <w:rsid w:val="006E7804"/>
    <w:rsid w:val="006E7E97"/>
    <w:rsid w:val="006F2193"/>
    <w:rsid w:val="007013C8"/>
    <w:rsid w:val="00704330"/>
    <w:rsid w:val="00717B1E"/>
    <w:rsid w:val="00746441"/>
    <w:rsid w:val="00753836"/>
    <w:rsid w:val="0075393C"/>
    <w:rsid w:val="00754592"/>
    <w:rsid w:val="00757DCE"/>
    <w:rsid w:val="007701B8"/>
    <w:rsid w:val="0077207E"/>
    <w:rsid w:val="00774CF0"/>
    <w:rsid w:val="00776C08"/>
    <w:rsid w:val="00786726"/>
    <w:rsid w:val="00792F3A"/>
    <w:rsid w:val="007C180B"/>
    <w:rsid w:val="007C219A"/>
    <w:rsid w:val="007C4F9B"/>
    <w:rsid w:val="007D50B5"/>
    <w:rsid w:val="007E00F8"/>
    <w:rsid w:val="007E1DA8"/>
    <w:rsid w:val="007E4BA0"/>
    <w:rsid w:val="007E4D52"/>
    <w:rsid w:val="007F6C26"/>
    <w:rsid w:val="00813208"/>
    <w:rsid w:val="00822135"/>
    <w:rsid w:val="0083214F"/>
    <w:rsid w:val="008334AE"/>
    <w:rsid w:val="00836FED"/>
    <w:rsid w:val="0083724E"/>
    <w:rsid w:val="00845CD2"/>
    <w:rsid w:val="00852B0D"/>
    <w:rsid w:val="00863385"/>
    <w:rsid w:val="00881692"/>
    <w:rsid w:val="00883D1A"/>
    <w:rsid w:val="008934A3"/>
    <w:rsid w:val="008A25C2"/>
    <w:rsid w:val="008A6576"/>
    <w:rsid w:val="008B3CC5"/>
    <w:rsid w:val="008B52CD"/>
    <w:rsid w:val="008D42CC"/>
    <w:rsid w:val="008E4261"/>
    <w:rsid w:val="008F321B"/>
    <w:rsid w:val="008F4662"/>
    <w:rsid w:val="00900BF9"/>
    <w:rsid w:val="00904CDD"/>
    <w:rsid w:val="00905D08"/>
    <w:rsid w:val="00925753"/>
    <w:rsid w:val="00931831"/>
    <w:rsid w:val="009425F4"/>
    <w:rsid w:val="009537C8"/>
    <w:rsid w:val="00965683"/>
    <w:rsid w:val="00966C5C"/>
    <w:rsid w:val="0097130F"/>
    <w:rsid w:val="00972D31"/>
    <w:rsid w:val="00973104"/>
    <w:rsid w:val="00987029"/>
    <w:rsid w:val="00987706"/>
    <w:rsid w:val="00995BF0"/>
    <w:rsid w:val="009A16D5"/>
    <w:rsid w:val="009A353D"/>
    <w:rsid w:val="009B0B77"/>
    <w:rsid w:val="009B511E"/>
    <w:rsid w:val="009D3DF1"/>
    <w:rsid w:val="009E0BB0"/>
    <w:rsid w:val="00A02FED"/>
    <w:rsid w:val="00A0345F"/>
    <w:rsid w:val="00A42BFB"/>
    <w:rsid w:val="00A44E3D"/>
    <w:rsid w:val="00A62942"/>
    <w:rsid w:val="00A72D2E"/>
    <w:rsid w:val="00A7347D"/>
    <w:rsid w:val="00A74447"/>
    <w:rsid w:val="00A74CE5"/>
    <w:rsid w:val="00A75DBE"/>
    <w:rsid w:val="00A910D2"/>
    <w:rsid w:val="00A911E7"/>
    <w:rsid w:val="00A939D9"/>
    <w:rsid w:val="00AC6958"/>
    <w:rsid w:val="00AD08A2"/>
    <w:rsid w:val="00AD32B2"/>
    <w:rsid w:val="00AF1C21"/>
    <w:rsid w:val="00AF4530"/>
    <w:rsid w:val="00B03617"/>
    <w:rsid w:val="00B07D9E"/>
    <w:rsid w:val="00B12122"/>
    <w:rsid w:val="00B20712"/>
    <w:rsid w:val="00B32F84"/>
    <w:rsid w:val="00B33B75"/>
    <w:rsid w:val="00B43238"/>
    <w:rsid w:val="00B45DD3"/>
    <w:rsid w:val="00B52632"/>
    <w:rsid w:val="00B727A9"/>
    <w:rsid w:val="00B75216"/>
    <w:rsid w:val="00B84D97"/>
    <w:rsid w:val="00B91D52"/>
    <w:rsid w:val="00B92986"/>
    <w:rsid w:val="00B9490F"/>
    <w:rsid w:val="00BA1ACD"/>
    <w:rsid w:val="00BA4785"/>
    <w:rsid w:val="00BA534E"/>
    <w:rsid w:val="00BB1A2F"/>
    <w:rsid w:val="00BD09F8"/>
    <w:rsid w:val="00BD4B2D"/>
    <w:rsid w:val="00BE0E8E"/>
    <w:rsid w:val="00C0360F"/>
    <w:rsid w:val="00C06277"/>
    <w:rsid w:val="00C16800"/>
    <w:rsid w:val="00C2722B"/>
    <w:rsid w:val="00C35176"/>
    <w:rsid w:val="00C46530"/>
    <w:rsid w:val="00C570A2"/>
    <w:rsid w:val="00C667DC"/>
    <w:rsid w:val="00C67658"/>
    <w:rsid w:val="00C67C66"/>
    <w:rsid w:val="00C7719B"/>
    <w:rsid w:val="00CA59B0"/>
    <w:rsid w:val="00CA7176"/>
    <w:rsid w:val="00CB3D48"/>
    <w:rsid w:val="00CB4665"/>
    <w:rsid w:val="00CC75B0"/>
    <w:rsid w:val="00CD0BF2"/>
    <w:rsid w:val="00CD1AE7"/>
    <w:rsid w:val="00CD23E7"/>
    <w:rsid w:val="00CD2773"/>
    <w:rsid w:val="00CD31CC"/>
    <w:rsid w:val="00CE143B"/>
    <w:rsid w:val="00CE3D34"/>
    <w:rsid w:val="00CF3455"/>
    <w:rsid w:val="00CF6673"/>
    <w:rsid w:val="00D0024A"/>
    <w:rsid w:val="00D01660"/>
    <w:rsid w:val="00D17ABB"/>
    <w:rsid w:val="00D27003"/>
    <w:rsid w:val="00D4166E"/>
    <w:rsid w:val="00D440D6"/>
    <w:rsid w:val="00D97D00"/>
    <w:rsid w:val="00DA7FF9"/>
    <w:rsid w:val="00DB4A9B"/>
    <w:rsid w:val="00DC6F06"/>
    <w:rsid w:val="00DD38EC"/>
    <w:rsid w:val="00DE0873"/>
    <w:rsid w:val="00DE2AA4"/>
    <w:rsid w:val="00DE666F"/>
    <w:rsid w:val="00E167C7"/>
    <w:rsid w:val="00E2482E"/>
    <w:rsid w:val="00E273A5"/>
    <w:rsid w:val="00E34E80"/>
    <w:rsid w:val="00E41AAA"/>
    <w:rsid w:val="00E61DF2"/>
    <w:rsid w:val="00E70C0A"/>
    <w:rsid w:val="00E73D47"/>
    <w:rsid w:val="00E76E4E"/>
    <w:rsid w:val="00E82C63"/>
    <w:rsid w:val="00E91254"/>
    <w:rsid w:val="00EA3186"/>
    <w:rsid w:val="00EA7492"/>
    <w:rsid w:val="00EB1BEC"/>
    <w:rsid w:val="00EC2F6B"/>
    <w:rsid w:val="00EC4247"/>
    <w:rsid w:val="00EC47F6"/>
    <w:rsid w:val="00ED2F22"/>
    <w:rsid w:val="00ED7CF6"/>
    <w:rsid w:val="00EE62A0"/>
    <w:rsid w:val="00EE65B8"/>
    <w:rsid w:val="00EF06C7"/>
    <w:rsid w:val="00F026CD"/>
    <w:rsid w:val="00F10008"/>
    <w:rsid w:val="00F149E2"/>
    <w:rsid w:val="00F159B6"/>
    <w:rsid w:val="00F40CD8"/>
    <w:rsid w:val="00F449F1"/>
    <w:rsid w:val="00F66032"/>
    <w:rsid w:val="00F728BF"/>
    <w:rsid w:val="00F72D63"/>
    <w:rsid w:val="00F87A16"/>
    <w:rsid w:val="00F87C1E"/>
    <w:rsid w:val="00F93AD4"/>
    <w:rsid w:val="00F958C2"/>
    <w:rsid w:val="00F97C0C"/>
    <w:rsid w:val="00FA3D33"/>
    <w:rsid w:val="00FA66A5"/>
    <w:rsid w:val="00FB5FCB"/>
    <w:rsid w:val="00FC6F96"/>
    <w:rsid w:val="00FD351A"/>
    <w:rsid w:val="00FD73AD"/>
    <w:rsid w:val="00FE75D7"/>
    <w:rsid w:val="00FF6131"/>
    <w:rsid w:val="010A6AF3"/>
    <w:rsid w:val="01C51C69"/>
    <w:rsid w:val="03191291"/>
    <w:rsid w:val="05C91A0F"/>
    <w:rsid w:val="08A62A08"/>
    <w:rsid w:val="0C017A30"/>
    <w:rsid w:val="0F0003EE"/>
    <w:rsid w:val="10E2355A"/>
    <w:rsid w:val="12F0183D"/>
    <w:rsid w:val="142B11B3"/>
    <w:rsid w:val="146B4CAE"/>
    <w:rsid w:val="150C751F"/>
    <w:rsid w:val="15396DCC"/>
    <w:rsid w:val="169E0A88"/>
    <w:rsid w:val="16F22525"/>
    <w:rsid w:val="18A42918"/>
    <w:rsid w:val="1A536ED2"/>
    <w:rsid w:val="1B734279"/>
    <w:rsid w:val="1C6F60DA"/>
    <w:rsid w:val="1F045AFB"/>
    <w:rsid w:val="1FC76B67"/>
    <w:rsid w:val="20930B2D"/>
    <w:rsid w:val="21ED615F"/>
    <w:rsid w:val="22596DF9"/>
    <w:rsid w:val="24216FFC"/>
    <w:rsid w:val="25024CD3"/>
    <w:rsid w:val="25CA14F6"/>
    <w:rsid w:val="2ACD65F0"/>
    <w:rsid w:val="2AFB1270"/>
    <w:rsid w:val="2FF12E6B"/>
    <w:rsid w:val="30A263AC"/>
    <w:rsid w:val="32C923D1"/>
    <w:rsid w:val="34F358A2"/>
    <w:rsid w:val="35821B03"/>
    <w:rsid w:val="37F430F7"/>
    <w:rsid w:val="39C72511"/>
    <w:rsid w:val="3AEB618A"/>
    <w:rsid w:val="3AFF3130"/>
    <w:rsid w:val="3B526765"/>
    <w:rsid w:val="40BC16A9"/>
    <w:rsid w:val="45351C1A"/>
    <w:rsid w:val="46CF6E48"/>
    <w:rsid w:val="47885B4D"/>
    <w:rsid w:val="49747CF2"/>
    <w:rsid w:val="4D5D2911"/>
    <w:rsid w:val="4F034F65"/>
    <w:rsid w:val="4F284B98"/>
    <w:rsid w:val="4FDD43AA"/>
    <w:rsid w:val="51845B80"/>
    <w:rsid w:val="51FA12EE"/>
    <w:rsid w:val="522F5EC1"/>
    <w:rsid w:val="53AC7EB5"/>
    <w:rsid w:val="596D7022"/>
    <w:rsid w:val="5DD31CCC"/>
    <w:rsid w:val="5E9F3FC1"/>
    <w:rsid w:val="63F25AC9"/>
    <w:rsid w:val="66FD7A5F"/>
    <w:rsid w:val="67F12DCB"/>
    <w:rsid w:val="680D5506"/>
    <w:rsid w:val="6BBB0CB7"/>
    <w:rsid w:val="6C2976BB"/>
    <w:rsid w:val="701860CA"/>
    <w:rsid w:val="713D1D81"/>
    <w:rsid w:val="75187A08"/>
    <w:rsid w:val="77792892"/>
    <w:rsid w:val="78BA1E08"/>
    <w:rsid w:val="79D043DB"/>
    <w:rsid w:val="7A7C6379"/>
    <w:rsid w:val="7B1E7052"/>
    <w:rsid w:val="7D754847"/>
    <w:rsid w:val="7EFD73D2"/>
    <w:rsid w:val="7F2771C1"/>
    <w:rsid w:val="7F374FDD"/>
    <w:rsid w:val="7FFE2B1C"/>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qFormat="1"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iPriority="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25"/>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26"/>
    <w:qFormat/>
    <w:locked/>
    <w:uiPriority w:val="99"/>
    <w:pPr>
      <w:keepNext/>
      <w:keepLines/>
      <w:spacing w:before="260" w:after="260" w:line="416" w:lineRule="auto"/>
      <w:outlineLvl w:val="1"/>
    </w:pPr>
    <w:rPr>
      <w:rFonts w:ascii="Cambria" w:hAnsi="Cambria"/>
      <w:b/>
      <w:sz w:val="32"/>
      <w:szCs w:val="20"/>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29"/>
    <w:semiHidden/>
    <w:qFormat/>
    <w:uiPriority w:val="99"/>
    <w:rPr>
      <w:kern w:val="0"/>
      <w:sz w:val="18"/>
      <w:szCs w:val="20"/>
    </w:rPr>
  </w:style>
  <w:style w:type="paragraph" w:styleId="5">
    <w:name w:val="footer"/>
    <w:basedOn w:val="1"/>
    <w:link w:val="28"/>
    <w:qFormat/>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27"/>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qFormat/>
    <w:uiPriority w:val="99"/>
    <w:rPr>
      <w:rFonts w:ascii="Times New Roman" w:hAnsi="Times New Roman"/>
      <w:szCs w:val="24"/>
    </w:rPr>
  </w:style>
  <w:style w:type="paragraph" w:styleId="8">
    <w:name w:val="footnote text"/>
    <w:basedOn w:val="1"/>
    <w:link w:val="31"/>
    <w:semiHidden/>
    <w:qFormat/>
    <w:uiPriority w:val="99"/>
    <w:pPr>
      <w:snapToGrid w:val="0"/>
      <w:jc w:val="left"/>
    </w:pPr>
    <w:rPr>
      <w:kern w:val="0"/>
      <w:sz w:val="18"/>
      <w:szCs w:val="20"/>
    </w:rPr>
  </w:style>
  <w:style w:type="paragraph" w:styleId="9">
    <w:name w:val="toc 2"/>
    <w:basedOn w:val="1"/>
    <w:next w:val="1"/>
    <w:qFormat/>
    <w:uiPriority w:val="99"/>
    <w:pPr>
      <w:ind w:left="420" w:leftChars="200"/>
    </w:pPr>
    <w:rPr>
      <w:rFonts w:ascii="Times New Roman" w:hAnsi="Times New Roman"/>
      <w:szCs w:val="24"/>
    </w:rPr>
  </w:style>
  <w:style w:type="paragraph" w:styleId="10">
    <w:name w:val="Normal (Web)"/>
    <w:basedOn w:val="1"/>
    <w:semiHidden/>
    <w:unhideWhenUsed/>
    <w:qFormat/>
    <w:uiPriority w:val="99"/>
    <w:pPr>
      <w:widowControl/>
      <w:spacing w:before="100" w:beforeAutospacing="1" w:after="100" w:afterAutospacing="1"/>
      <w:jc w:val="left"/>
    </w:pPr>
    <w:rPr>
      <w:rFonts w:ascii="宋体" w:hAnsi="宋体" w:cs="宋体"/>
      <w:kern w:val="0"/>
      <w:sz w:val="24"/>
      <w:szCs w:val="24"/>
    </w:rPr>
  </w:style>
  <w:style w:type="character" w:styleId="13">
    <w:name w:val="Strong"/>
    <w:basedOn w:val="12"/>
    <w:qFormat/>
    <w:locked/>
    <w:uiPriority w:val="0"/>
    <w:rPr>
      <w:b/>
      <w:color w:val="D40009"/>
    </w:rPr>
  </w:style>
  <w:style w:type="character" w:styleId="14">
    <w:name w:val="page number"/>
    <w:semiHidden/>
    <w:qFormat/>
    <w:uiPriority w:val="99"/>
    <w:rPr>
      <w:rFonts w:cs="Times New Roman"/>
    </w:rPr>
  </w:style>
  <w:style w:type="character" w:styleId="15">
    <w:name w:val="FollowedHyperlink"/>
    <w:basedOn w:val="12"/>
    <w:semiHidden/>
    <w:unhideWhenUsed/>
    <w:qFormat/>
    <w:uiPriority w:val="99"/>
    <w:rPr>
      <w:color w:val="337AB7"/>
      <w:u w:val="none"/>
    </w:rPr>
  </w:style>
  <w:style w:type="character" w:styleId="16">
    <w:name w:val="HTML Definition"/>
    <w:basedOn w:val="12"/>
    <w:semiHidden/>
    <w:unhideWhenUsed/>
    <w:qFormat/>
    <w:uiPriority w:val="99"/>
    <w:rPr>
      <w:i/>
    </w:rPr>
  </w:style>
  <w:style w:type="character" w:styleId="17">
    <w:name w:val="HTML Typewriter"/>
    <w:basedOn w:val="12"/>
    <w:semiHidden/>
    <w:unhideWhenUsed/>
    <w:qFormat/>
    <w:uiPriority w:val="99"/>
    <w:rPr>
      <w:rFonts w:ascii="Courier New" w:hAnsi="Courier New"/>
      <w:sz w:val="20"/>
    </w:rPr>
  </w:style>
  <w:style w:type="character" w:styleId="18">
    <w:name w:val="Hyperlink"/>
    <w:qFormat/>
    <w:uiPriority w:val="99"/>
    <w:rPr>
      <w:rFonts w:cs="Times New Roman"/>
      <w:color w:val="0000FF"/>
      <w:u w:val="single"/>
    </w:rPr>
  </w:style>
  <w:style w:type="character" w:styleId="19">
    <w:name w:val="HTML Code"/>
    <w:basedOn w:val="12"/>
    <w:semiHidden/>
    <w:unhideWhenUsed/>
    <w:qFormat/>
    <w:uiPriority w:val="99"/>
    <w:rPr>
      <w:rFonts w:hint="default" w:ascii="Consolas" w:hAnsi="Consolas" w:eastAsia="Consolas" w:cs="Consolas"/>
      <w:color w:val="C7254E"/>
      <w:sz w:val="21"/>
      <w:szCs w:val="21"/>
      <w:shd w:val="clear" w:fill="F9F2F4"/>
    </w:rPr>
  </w:style>
  <w:style w:type="character" w:styleId="20">
    <w:name w:val="footnote reference"/>
    <w:semiHidden/>
    <w:qFormat/>
    <w:uiPriority w:val="99"/>
    <w:rPr>
      <w:rFonts w:cs="Times New Roman"/>
      <w:vertAlign w:val="superscript"/>
    </w:rPr>
  </w:style>
  <w:style w:type="character" w:styleId="21">
    <w:name w:val="HTML Keyboard"/>
    <w:basedOn w:val="12"/>
    <w:semiHidden/>
    <w:unhideWhenUsed/>
    <w:qFormat/>
    <w:uiPriority w:val="99"/>
    <w:rPr>
      <w:rFonts w:hint="default" w:ascii="Consolas" w:hAnsi="Consolas" w:eastAsia="Consolas" w:cs="Consolas"/>
      <w:color w:val="FFFFFF"/>
      <w:sz w:val="21"/>
      <w:szCs w:val="21"/>
      <w:shd w:val="clear" w:fill="333333"/>
    </w:rPr>
  </w:style>
  <w:style w:type="character" w:styleId="22">
    <w:name w:val="HTML Sample"/>
    <w:basedOn w:val="12"/>
    <w:semiHidden/>
    <w:unhideWhenUsed/>
    <w:qFormat/>
    <w:uiPriority w:val="99"/>
    <w:rPr>
      <w:rFonts w:ascii="Consolas" w:hAnsi="Consolas" w:eastAsia="Consolas" w:cs="Consolas"/>
      <w:sz w:val="21"/>
      <w:szCs w:val="21"/>
    </w:rPr>
  </w:style>
  <w:style w:type="character" w:customStyle="1" w:styleId="23">
    <w:name w:val="Heading 1 Char"/>
    <w:qFormat/>
    <w:locked/>
    <w:uiPriority w:val="99"/>
    <w:rPr>
      <w:rFonts w:cs="Times New Roman"/>
      <w:b/>
      <w:kern w:val="44"/>
      <w:sz w:val="44"/>
    </w:rPr>
  </w:style>
  <w:style w:type="character" w:customStyle="1" w:styleId="24">
    <w:name w:val="Heading 2 Char"/>
    <w:semiHidden/>
    <w:qFormat/>
    <w:locked/>
    <w:uiPriority w:val="99"/>
    <w:rPr>
      <w:rFonts w:ascii="Cambria" w:hAnsi="Cambria" w:eastAsia="宋体" w:cs="Times New Roman"/>
      <w:b/>
      <w:sz w:val="32"/>
    </w:rPr>
  </w:style>
  <w:style w:type="character" w:customStyle="1" w:styleId="25">
    <w:name w:val="标题 1 字符"/>
    <w:link w:val="2"/>
    <w:qFormat/>
    <w:locked/>
    <w:uiPriority w:val="99"/>
    <w:rPr>
      <w:rFonts w:ascii="Calibri" w:hAnsi="Calibri" w:eastAsia="宋体"/>
      <w:b/>
      <w:kern w:val="44"/>
      <w:sz w:val="44"/>
      <w:lang w:val="en-US" w:eastAsia="zh-CN"/>
    </w:rPr>
  </w:style>
  <w:style w:type="character" w:customStyle="1" w:styleId="26">
    <w:name w:val="标题 2 字符"/>
    <w:link w:val="3"/>
    <w:qFormat/>
    <w:locked/>
    <w:uiPriority w:val="99"/>
    <w:rPr>
      <w:rFonts w:ascii="Cambria" w:hAnsi="Cambria" w:eastAsia="宋体"/>
      <w:b/>
      <w:kern w:val="2"/>
      <w:sz w:val="32"/>
      <w:lang w:val="en-US" w:eastAsia="zh-CN"/>
    </w:rPr>
  </w:style>
  <w:style w:type="character" w:customStyle="1" w:styleId="27">
    <w:name w:val="页眉 字符"/>
    <w:link w:val="6"/>
    <w:qFormat/>
    <w:locked/>
    <w:uiPriority w:val="99"/>
    <w:rPr>
      <w:rFonts w:ascii="Times New Roman" w:hAnsi="Times New Roman" w:eastAsia="宋体" w:cs="Times New Roman"/>
      <w:sz w:val="18"/>
    </w:rPr>
  </w:style>
  <w:style w:type="character" w:customStyle="1" w:styleId="28">
    <w:name w:val="页脚 字符"/>
    <w:link w:val="5"/>
    <w:qFormat/>
    <w:locked/>
    <w:uiPriority w:val="99"/>
    <w:rPr>
      <w:rFonts w:ascii="Times New Roman" w:hAnsi="Times New Roman" w:eastAsia="宋体" w:cs="Times New Roman"/>
      <w:sz w:val="18"/>
    </w:rPr>
  </w:style>
  <w:style w:type="character" w:customStyle="1" w:styleId="29">
    <w:name w:val="批注框文本 字符"/>
    <w:link w:val="4"/>
    <w:semiHidden/>
    <w:qFormat/>
    <w:locked/>
    <w:uiPriority w:val="99"/>
    <w:rPr>
      <w:rFonts w:cs="Times New Roman"/>
      <w:sz w:val="18"/>
    </w:rPr>
  </w:style>
  <w:style w:type="paragraph" w:customStyle="1" w:styleId="30">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31">
    <w:name w:val="脚注文本 字符"/>
    <w:link w:val="8"/>
    <w:semiHidden/>
    <w:qFormat/>
    <w:locked/>
    <w:uiPriority w:val="99"/>
    <w:rPr>
      <w:rFonts w:ascii="Calibri" w:hAnsi="Calibri" w:eastAsia="宋体" w:cs="Times New Roman"/>
      <w:sz w:val="18"/>
    </w:rPr>
  </w:style>
  <w:style w:type="character" w:customStyle="1" w:styleId="32">
    <w:name w:val="Char Char1"/>
    <w:qFormat/>
    <w:uiPriority w:val="99"/>
    <w:rPr>
      <w:kern w:val="2"/>
      <w:sz w:val="18"/>
    </w:rPr>
  </w:style>
  <w:style w:type="character" w:customStyle="1" w:styleId="33">
    <w:name w:val="nth-child(1)"/>
    <w:basedOn w:val="12"/>
    <w:qFormat/>
    <w:uiPriority w:val="0"/>
  </w:style>
  <w:style w:type="character" w:customStyle="1" w:styleId="34">
    <w:name w:val="nth-child(2)7"/>
    <w:basedOn w:val="12"/>
    <w:qFormat/>
    <w:uiPriority w:val="0"/>
  </w:style>
  <w:style w:type="character" w:customStyle="1" w:styleId="35">
    <w:name w:val="first-child"/>
    <w:basedOn w:val="12"/>
    <w:qFormat/>
    <w:uiPriority w:val="0"/>
  </w:style>
  <w:style w:type="character" w:customStyle="1" w:styleId="36">
    <w:name w:val="nth-child(2)"/>
    <w:basedOn w:val="12"/>
    <w:qFormat/>
    <w:uiPriority w:val="0"/>
    <w:rPr>
      <w:color w:val="CC0000"/>
    </w:rPr>
  </w:style>
  <w:style w:type="character" w:customStyle="1" w:styleId="37">
    <w:name w:val="nth-child(1)7"/>
    <w:basedOn w:val="12"/>
    <w:qFormat/>
    <w:uiPriority w:val="0"/>
  </w:style>
  <w:style w:type="character" w:customStyle="1" w:styleId="38">
    <w:name w:val="font01"/>
    <w:basedOn w:val="12"/>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24</Pages>
  <Words>6400</Words>
  <Characters>6898</Characters>
  <Lines>100</Lines>
  <Paragraphs>28</Paragraphs>
  <TotalTime>38</TotalTime>
  <ScaleCrop>false</ScaleCrop>
  <LinksUpToDate>false</LinksUpToDate>
  <CharactersWithSpaces>7396</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2021-02-19T03:58:00Z</dcterms:created>
  <dc:creator>guest</dc:creator>
  <cp:lastModifiedBy>晶璞</cp:lastModifiedBy>
  <cp:lastPrinted>2021-02-23T10:01:00Z</cp:lastPrinted>
  <dcterms:modified xsi:type="dcterms:W3CDTF">2022-09-01T06:53:54Z</dcterms:modified>
  <dc:title>河北省委办公厅2021年部门预算信息公开情况说明</dc:title>
  <cp:revision>53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9C217424B95C4113B17219DF3F1487B4</vt:lpwstr>
  </property>
</Properties>
</file>