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隆尧县科学技术协会</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21</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jc w:val="left"/>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按照《预算法》、《地方预决算公开操作规程》和《河北省省级预算公开办法》规定，现将隆尧县科学技术协会</w:t>
      </w:r>
      <w:r>
        <w:rPr>
          <w:rFonts w:ascii="仿宋" w:hAnsi="仿宋" w:eastAsia="仿宋" w:cs="仿宋"/>
          <w:sz w:val="32"/>
          <w:szCs w:val="32"/>
        </w:rPr>
        <w:t>20</w:t>
      </w:r>
      <w:r>
        <w:rPr>
          <w:rFonts w:hint="eastAsia" w:ascii="仿宋" w:hAnsi="仿宋" w:eastAsia="仿宋" w:cs="仿宋"/>
          <w:sz w:val="32"/>
          <w:szCs w:val="32"/>
        </w:rPr>
        <w:t>21年部门预算公开如下：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autoSpaceDE w:val="0"/>
        <w:autoSpaceDN w:val="0"/>
        <w:adjustRightInd w:val="0"/>
        <w:spacing w:line="540" w:lineRule="exact"/>
        <w:ind w:firstLine="643" w:firstLineChars="200"/>
        <w:jc w:val="left"/>
        <w:rPr>
          <w:rFonts w:ascii="仿宋" w:hAnsi="仿宋" w:eastAsia="仿宋" w:cs="Times New Roman"/>
          <w:kern w:val="0"/>
          <w:sz w:val="32"/>
          <w:szCs w:val="32"/>
        </w:rPr>
      </w:pPr>
      <w:r>
        <w:rPr>
          <w:rFonts w:hint="eastAsia" w:ascii="仿宋" w:hAnsi="仿宋" w:eastAsia="仿宋" w:cs="仿宋"/>
          <w:b/>
          <w:bCs/>
          <w:sz w:val="32"/>
          <w:szCs w:val="32"/>
        </w:rPr>
        <w:t>部门职责：</w:t>
      </w:r>
      <w:r>
        <w:rPr>
          <w:rFonts w:hint="eastAsia" w:ascii="仿宋" w:hAnsi="仿宋" w:eastAsia="仿宋" w:cs="仿宋"/>
          <w:sz w:val="32"/>
          <w:szCs w:val="32"/>
        </w:rPr>
        <w:t>团结和动员科学技术工作者，以经济建设为中心，全面落实科学发展观，实施科教兴县、人才强县战略和可持续发展战略，建设创新型隆尧。促进科学技术的繁荣和发展，促进科学技术的普及和推广，促进科技人才的成长和提高，促进科学技术与经济的结合。为经济社会发展服务，为提高全民科学素质服务，推动我县经济建设、政治建设、文化建设和社会建设，构建社会主义和谐隆尧。</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autoSpaceDE w:val="0"/>
        <w:autoSpaceDN w:val="0"/>
        <w:adjustRightInd w:val="0"/>
        <w:ind w:firstLine="4800" w:firstLineChars="1500"/>
        <w:jc w:val="left"/>
        <w:rPr>
          <w:rFonts w:ascii="仿宋_GB2312" w:hAnsi="仿宋_GB2312" w:eastAsia="仿宋_GB2312" w:cs="Times New Roman"/>
          <w:kern w:val="0"/>
          <w:sz w:val="32"/>
          <w:szCs w:val="32"/>
        </w:rPr>
      </w:pPr>
      <w:r>
        <w:rPr>
          <w:rFonts w:hint="eastAsia" w:ascii="仿宋_GB2312" w:hAnsi="仿宋_GB2312" w:eastAsia="仿宋_GB2312" w:cs="仿宋_GB2312"/>
          <w:kern w:val="0"/>
          <w:sz w:val="32"/>
          <w:szCs w:val="32"/>
        </w:rPr>
        <w:t>县科协部门机构设置情况</w:t>
      </w:r>
    </w:p>
    <w:tbl>
      <w:tblPr>
        <w:tblStyle w:val="8"/>
        <w:tblW w:w="99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3"/>
        <w:gridCol w:w="2379"/>
        <w:gridCol w:w="2378"/>
        <w:gridCol w:w="23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3" w:type="dxa"/>
          </w:tcPr>
          <w:p>
            <w:pPr>
              <w:rPr>
                <w:rFonts w:ascii="黑体" w:hAnsi="黑体" w:eastAsia="黑体" w:cs="黑体"/>
                <w:sz w:val="32"/>
                <w:szCs w:val="32"/>
              </w:rPr>
            </w:pPr>
            <w:r>
              <w:rPr>
                <w:rFonts w:hint="eastAsia" w:ascii="Times New Roman" w:hAnsi="Times New Roman" w:eastAsia="方正书宋_GBK" w:cs="方正书宋_GBK"/>
                <w:sz w:val="24"/>
                <w:szCs w:val="24"/>
              </w:rPr>
              <w:t>单位名称</w:t>
            </w:r>
          </w:p>
        </w:tc>
        <w:tc>
          <w:tcPr>
            <w:tcW w:w="2379" w:type="dxa"/>
          </w:tcPr>
          <w:p>
            <w:pPr>
              <w:rPr>
                <w:rFonts w:ascii="黑体" w:hAnsi="黑体" w:eastAsia="黑体" w:cs="黑体"/>
                <w:sz w:val="32"/>
                <w:szCs w:val="32"/>
              </w:rPr>
            </w:pPr>
            <w:r>
              <w:rPr>
                <w:rFonts w:hint="eastAsia" w:ascii="Times New Roman" w:hAnsi="Times New Roman" w:eastAsia="方正书宋_GBK" w:cs="方正书宋_GBK"/>
                <w:sz w:val="24"/>
                <w:szCs w:val="24"/>
              </w:rPr>
              <w:t>单位性质</w:t>
            </w:r>
          </w:p>
        </w:tc>
        <w:tc>
          <w:tcPr>
            <w:tcW w:w="2378" w:type="dxa"/>
          </w:tcPr>
          <w:p>
            <w:pPr>
              <w:rPr>
                <w:rFonts w:ascii="黑体" w:hAnsi="黑体" w:eastAsia="黑体" w:cs="黑体"/>
                <w:sz w:val="32"/>
                <w:szCs w:val="32"/>
              </w:rPr>
            </w:pPr>
            <w:r>
              <w:rPr>
                <w:rFonts w:hint="eastAsia" w:ascii="Times New Roman" w:hAnsi="Times New Roman" w:eastAsia="方正书宋_GBK" w:cs="方正书宋_GBK"/>
                <w:sz w:val="24"/>
                <w:szCs w:val="24"/>
              </w:rPr>
              <w:t>单位规格</w:t>
            </w:r>
          </w:p>
        </w:tc>
        <w:tc>
          <w:tcPr>
            <w:tcW w:w="2378" w:type="dxa"/>
          </w:tcPr>
          <w:p>
            <w:pPr>
              <w:rPr>
                <w:rFonts w:ascii="黑体" w:hAnsi="黑体" w:eastAsia="黑体" w:cs="黑体"/>
                <w:sz w:val="32"/>
                <w:szCs w:val="32"/>
              </w:rPr>
            </w:pPr>
            <w:r>
              <w:rPr>
                <w:rFonts w:hint="eastAsia" w:ascii="Times New Roman" w:hAnsi="Times New Roman" w:eastAsia="方正书宋_GBK" w:cs="方正书宋_GBK"/>
                <w:sz w:val="24"/>
                <w:szCs w:val="24"/>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3" w:type="dxa"/>
          </w:tcPr>
          <w:p>
            <w:pPr>
              <w:rPr>
                <w:rFonts w:ascii="黑体" w:hAnsi="黑体" w:eastAsia="黑体" w:cs="黑体"/>
                <w:sz w:val="32"/>
                <w:szCs w:val="32"/>
              </w:rPr>
            </w:pPr>
            <w:r>
              <w:rPr>
                <w:rFonts w:hint="eastAsia" w:ascii="仿宋_GB2312" w:hAnsi="仿宋_GB2312" w:eastAsia="仿宋_GB2312" w:cs="仿宋_GB2312"/>
                <w:kern w:val="0"/>
                <w:sz w:val="24"/>
                <w:szCs w:val="24"/>
              </w:rPr>
              <w:t>科协</w:t>
            </w:r>
          </w:p>
        </w:tc>
        <w:tc>
          <w:tcPr>
            <w:tcW w:w="2379" w:type="dxa"/>
          </w:tcPr>
          <w:p>
            <w:pPr>
              <w:rPr>
                <w:rFonts w:ascii="黑体" w:hAnsi="黑体" w:eastAsia="黑体" w:cs="黑体"/>
                <w:sz w:val="32"/>
                <w:szCs w:val="32"/>
              </w:rPr>
            </w:pPr>
            <w:r>
              <w:rPr>
                <w:rFonts w:hint="eastAsia" w:ascii="仿宋_GB2312" w:hAnsi="仿宋_GB2312" w:eastAsia="仿宋_GB2312" w:cs="仿宋_GB2312"/>
                <w:kern w:val="0"/>
                <w:sz w:val="24"/>
                <w:szCs w:val="24"/>
              </w:rPr>
              <w:t>参公事业</w:t>
            </w:r>
          </w:p>
        </w:tc>
        <w:tc>
          <w:tcPr>
            <w:tcW w:w="2378" w:type="dxa"/>
          </w:tcPr>
          <w:p>
            <w:pPr>
              <w:rPr>
                <w:rFonts w:ascii="黑体" w:hAnsi="黑体" w:eastAsia="黑体" w:cs="黑体"/>
                <w:sz w:val="32"/>
                <w:szCs w:val="32"/>
              </w:rPr>
            </w:pPr>
            <w:r>
              <w:rPr>
                <w:rFonts w:hint="eastAsia" w:ascii="仿宋_GB2312" w:hAnsi="仿宋_GB2312" w:eastAsia="仿宋_GB2312" w:cs="仿宋_GB2312"/>
                <w:kern w:val="0"/>
                <w:sz w:val="24"/>
                <w:szCs w:val="24"/>
              </w:rPr>
              <w:t>正科级</w:t>
            </w:r>
          </w:p>
        </w:tc>
        <w:tc>
          <w:tcPr>
            <w:tcW w:w="2378" w:type="dxa"/>
          </w:tcPr>
          <w:p>
            <w:pPr>
              <w:rPr>
                <w:rFonts w:ascii="黑体" w:hAnsi="黑体" w:eastAsia="黑体" w:cs="黑体"/>
                <w:sz w:val="32"/>
                <w:szCs w:val="32"/>
              </w:rPr>
            </w:pPr>
            <w:r>
              <w:rPr>
                <w:rFonts w:hint="eastAsia" w:ascii="仿宋_GB2312" w:hAnsi="仿宋_GB2312" w:eastAsia="仿宋_GB2312" w:cs="仿宋_GB2312"/>
                <w:kern w:val="0"/>
                <w:sz w:val="24"/>
                <w:szCs w:val="24"/>
              </w:rPr>
              <w:t>财政拨款</w:t>
            </w:r>
          </w:p>
        </w:tc>
      </w:tr>
    </w:tbl>
    <w:p>
      <w:pPr>
        <w:ind w:firstLine="640"/>
        <w:rPr>
          <w:rFonts w:ascii="黑体" w:hAnsi="黑体" w:eastAsia="黑体" w:cs="黑体"/>
          <w:sz w:val="32"/>
          <w:szCs w:val="32"/>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按照预算管理有关规定，目前我部门预算的编制实行综合预算管理，即全部收入和支出都反映在预算中。隆尧县科学技术协会的收支包含在部门预算中。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42.58</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42.58</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lang w:val="en-US" w:eastAsia="zh-CN"/>
        </w:rPr>
        <w:t>上年结转0万元。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仿宋"/>
          <w:sz w:val="32"/>
          <w:szCs w:val="32"/>
        </w:rPr>
        <w:t>收支预算总表支出栏、基本支出表、项目支出表按经济分类和支出功能分类科目编制，反映隆尧县科学技术协会年度部门预算中支出预算的总体情况。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rPr>
        <w:t>42.58</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rPr>
        <w:t>32.58</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rPr>
        <w:t>28.32</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rPr>
        <w:t>4.26</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rPr>
        <w:t>10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lang w:val="en-US" w:eastAsia="zh-CN"/>
        </w:rPr>
        <w:t>主要为科普经费。</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rPr>
        <w:t>1</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rPr>
        <w:t>42.58</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20</w:t>
      </w:r>
      <w:r>
        <w:rPr>
          <w:rFonts w:hint="eastAsia" w:ascii="Times New Roman" w:hAnsi="Times New Roman" w:eastAsia="仿宋" w:cs="仿宋"/>
          <w:sz w:val="32"/>
          <w:szCs w:val="32"/>
        </w:rPr>
        <w:t>年增加</w:t>
      </w:r>
      <w:r>
        <w:rPr>
          <w:rFonts w:hint="eastAsia" w:ascii="Times New Roman" w:hAnsi="Times New Roman" w:eastAsia="仿宋" w:cs="Times New Roman"/>
          <w:sz w:val="32"/>
          <w:szCs w:val="32"/>
        </w:rPr>
        <w:t>2.09</w:t>
      </w:r>
      <w:r>
        <w:rPr>
          <w:rFonts w:hint="eastAsia" w:ascii="Times New Roman" w:hAnsi="Times New Roman" w:eastAsia="仿宋" w:cs="仿宋"/>
          <w:sz w:val="32"/>
          <w:szCs w:val="32"/>
        </w:rPr>
        <w:t>万元，其中原因为：科普经费的增加和人员增加。</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ind w:firstLine="640" w:firstLineChars="200"/>
        <w:rPr>
          <w:rFonts w:ascii="仿宋_GB2312" w:hAnsi="仿宋_GB2312" w:eastAsia="仿宋_GB2312" w:cs="Times New Roman"/>
          <w:color w:val="000000"/>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4.26</w:t>
      </w:r>
      <w:r>
        <w:rPr>
          <w:rFonts w:hint="eastAsia" w:ascii="Times New Roman" w:hAnsi="Times New Roman" w:eastAsia="仿宋" w:cs="仿宋"/>
          <w:sz w:val="32"/>
          <w:szCs w:val="32"/>
        </w:rPr>
        <w:t>万元，主要用于保证机关正常运转的</w:t>
      </w:r>
      <w:r>
        <w:rPr>
          <w:rFonts w:hint="eastAsia" w:ascii="仿宋_GB2312" w:hAnsi="仿宋_GB2312" w:eastAsia="仿宋_GB2312" w:cs="仿宋_GB2312"/>
          <w:color w:val="000000"/>
          <w:sz w:val="32"/>
          <w:szCs w:val="32"/>
        </w:rPr>
        <w:t>办公费、福利费、其他交通费用等日常运行支出。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年，我部门财政拨款“三公”经费预算安排</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万元。无“三公”经费</w:t>
      </w:r>
      <w:r>
        <w:rPr>
          <w:rFonts w:hint="eastAsia" w:ascii="Times New Roman" w:hAnsi="Times New Roman" w:eastAsia="仿宋" w:cs="仿宋"/>
          <w:sz w:val="32"/>
          <w:szCs w:val="32"/>
          <w:lang w:eastAsia="zh-CN"/>
        </w:rPr>
        <w:t>，</w:t>
      </w:r>
      <w:r>
        <w:rPr>
          <w:rFonts w:hint="eastAsia" w:ascii="Times New Roman" w:hAnsi="Times New Roman" w:eastAsia="仿宋" w:cs="Times New Roman"/>
          <w:sz w:val="32"/>
          <w:szCs w:val="32"/>
        </w:rPr>
        <w:t>“三公”经费与上年持平，无增减变化</w:t>
      </w:r>
      <w:r>
        <w:rPr>
          <w:rFonts w:hint="eastAsia" w:ascii="Times New Roman" w:hAnsi="Times New Roman" w:eastAsia="仿宋" w:cs="Times New Roman"/>
          <w:sz w:val="32"/>
          <w:szCs w:val="32"/>
          <w:lang w:eastAsia="zh-CN"/>
        </w:rPr>
        <w:t>。</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五、</w:t>
      </w:r>
      <w:r>
        <w:rPr>
          <w:rFonts w:hint="eastAsia" w:ascii="黑体" w:hAnsi="黑体" w:eastAsia="黑体" w:cs="黑体"/>
          <w:sz w:val="32"/>
          <w:szCs w:val="32"/>
          <w:lang w:val="en-US" w:eastAsia="zh-CN"/>
        </w:rPr>
        <w:t>预算</w:t>
      </w:r>
      <w:r>
        <w:rPr>
          <w:rFonts w:hint="eastAsia" w:ascii="黑体" w:hAnsi="黑体" w:eastAsia="黑体" w:cs="黑体"/>
          <w:sz w:val="32"/>
          <w:szCs w:val="32"/>
        </w:rPr>
        <w:t>绩效预算信息</w:t>
      </w:r>
    </w:p>
    <w:p>
      <w:pPr>
        <w:ind w:firstLine="964" w:firstLineChars="300"/>
        <w:jc w:val="left"/>
        <w:rPr>
          <w:rFonts w:hint="eastAsia" w:ascii="Times New Roman" w:hAnsi="Times New Roman" w:eastAsia="仿宋" w:cs="仿宋"/>
          <w:sz w:val="32"/>
          <w:szCs w:val="32"/>
        </w:rPr>
      </w:pPr>
      <w:bookmarkStart w:id="0" w:name="_Toc471398463"/>
      <w:r>
        <w:rPr>
          <w:rFonts w:hint="eastAsia" w:ascii="Times New Roman" w:hAnsi="Times New Roman" w:eastAsia="方正仿宋_GBK" w:cs="Times New Roman"/>
          <w:b/>
          <w:sz w:val="32"/>
          <w:szCs w:val="32"/>
        </w:rPr>
        <w:t>第一部分 部门整体</w:t>
      </w:r>
      <w:r>
        <w:rPr>
          <w:rFonts w:ascii="Times New Roman" w:hAnsi="Times New Roman" w:eastAsia="方正仿宋_GBK" w:cs="Times New Roman"/>
          <w:b/>
          <w:sz w:val="32"/>
          <w:szCs w:val="32"/>
        </w:rPr>
        <w:t>绩效目标</w:t>
      </w:r>
    </w:p>
    <w:p>
      <w:pPr>
        <w:autoSpaceDE w:val="0"/>
        <w:autoSpaceDN w:val="0"/>
        <w:adjustRightInd w:val="0"/>
        <w:ind w:firstLine="960" w:firstLineChars="300"/>
        <w:jc w:val="left"/>
        <w:rPr>
          <w:rFonts w:ascii="Times New Roman" w:hAnsi="Times New Roman" w:eastAsia="仿宋" w:cs="Times New Roman"/>
          <w:sz w:val="32"/>
          <w:szCs w:val="32"/>
        </w:rPr>
      </w:pPr>
      <w:r>
        <w:rPr>
          <w:rFonts w:hint="eastAsia" w:ascii="Times New Roman" w:hAnsi="Times New Roman" w:eastAsia="仿宋" w:cs="仿宋"/>
          <w:sz w:val="32"/>
          <w:szCs w:val="32"/>
        </w:rPr>
        <w:t>(一) 总体绩效目标</w:t>
      </w:r>
    </w:p>
    <w:p>
      <w:pPr>
        <w:spacing w:line="500" w:lineRule="exact"/>
        <w:ind w:firstLine="1120" w:firstLineChars="350"/>
        <w:jc w:val="left"/>
        <w:rPr>
          <w:rFonts w:ascii="仿宋" w:hAnsi="仿宋" w:eastAsia="仿宋"/>
          <w:sz w:val="32"/>
          <w:szCs w:val="32"/>
        </w:rPr>
      </w:pPr>
      <w:r>
        <w:rPr>
          <w:rFonts w:ascii="仿宋" w:hAnsi="仿宋" w:eastAsia="仿宋"/>
          <w:sz w:val="32"/>
          <w:szCs w:val="32"/>
        </w:rPr>
        <w:t>在县委的正确领导下，高举习近平新时代中国特色社会主义思想伟大旗帜，紧紧围绕县委中心工作，加强对科技工作者的政治引领，积极开展科普活动，服务科技创新驱动发展，服务全民科学素质提升。</w:t>
      </w:r>
    </w:p>
    <w:p>
      <w:pPr>
        <w:autoSpaceDE w:val="0"/>
        <w:autoSpaceDN w:val="0"/>
        <w:adjustRightInd w:val="0"/>
        <w:ind w:firstLine="960" w:firstLineChars="300"/>
        <w:jc w:val="left"/>
        <w:rPr>
          <w:rFonts w:ascii="Times New Roman" w:hAnsi="Times New Roman" w:eastAsia="仿宋" w:cs="Times New Roman"/>
          <w:sz w:val="32"/>
          <w:szCs w:val="32"/>
        </w:rPr>
      </w:pPr>
      <w:r>
        <w:rPr>
          <w:rFonts w:hint="eastAsia" w:ascii="Times New Roman" w:hAnsi="Times New Roman" w:eastAsia="仿宋" w:cs="仿宋"/>
          <w:sz w:val="32"/>
          <w:szCs w:val="32"/>
        </w:rPr>
        <w:t xml:space="preserve">(二) </w:t>
      </w:r>
      <w:bookmarkStart w:id="4" w:name="_GoBack"/>
      <w:r>
        <w:rPr>
          <w:rFonts w:hint="eastAsia" w:ascii="Times New Roman" w:hAnsi="Times New Roman" w:eastAsia="方正仿宋_GBK" w:cs="Times New Roman"/>
          <w:b w:val="0"/>
          <w:bCs/>
          <w:sz w:val="32"/>
          <w:szCs w:val="32"/>
        </w:rPr>
        <w:t>分项绩效目标</w:t>
      </w:r>
      <w:bookmarkEnd w:id="4"/>
    </w:p>
    <w:p>
      <w:pPr>
        <w:spacing w:line="500" w:lineRule="exact"/>
        <w:ind w:firstLine="1120" w:firstLineChars="350"/>
        <w:jc w:val="left"/>
        <w:rPr>
          <w:rFonts w:ascii="仿宋" w:hAnsi="仿宋" w:eastAsia="仿宋"/>
          <w:sz w:val="32"/>
          <w:szCs w:val="32"/>
        </w:rPr>
      </w:pPr>
      <w:r>
        <w:rPr>
          <w:rFonts w:ascii="仿宋" w:hAnsi="仿宋" w:eastAsia="仿宋"/>
          <w:sz w:val="32"/>
          <w:szCs w:val="32"/>
        </w:rPr>
        <w:t>全民科学素质水平的提升，需要大力开展科普宣传活动。为提高全民科学素质服务是各级科协四大责任之一，组织科技工作者开展各类科普活动，吸引各界群众参与科普活动，动员科技工作者组建科技社团，组织科技工作者日活动，加强对科技工作者的政治引领，宣传表彰优秀科技工作者。广泛传播科学知识，倡导科学思想，弘扬科学精神，是科协的重要任务目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发展壮大科协基层组织建设，提升科协组织力。组织基层科普行动计划、科技活动周、全国科普日等重点节点日活动；组织科技志愿服务、科技下乡、组织青少年科技活动，抓好“科技创新大赛”机器人大赛等系列青少年科普活动。做好2021年全国流动科技馆巡展活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科普阵地建设是加强科普宣传，服务全民科学素质提升的重要形式，根据县委工作重点，对现在科普宣传栏进行更新维护，纪实选择更新适合新形势任务需要的科普内容，让人民群众了解科学知识，提升全县公民重点人群的科学素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利用科协和学会的人才优势，在企业与科技专家之间牵线搭桥，向省科协推报科技专家企业工作站。</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仿宋"/>
          <w:sz w:val="32"/>
          <w:szCs w:val="32"/>
        </w:rPr>
        <w:t xml:space="preserve">(三) </w:t>
      </w:r>
      <w:r>
        <w:rPr>
          <w:rFonts w:hint="eastAsia" w:ascii="Times New Roman" w:hAnsi="Times New Roman" w:eastAsia="仿宋" w:cs="仿宋"/>
          <w:sz w:val="32"/>
          <w:szCs w:val="32"/>
          <w:lang w:val="en-US" w:eastAsia="zh-CN"/>
        </w:rPr>
        <w:t>工作</w:t>
      </w:r>
      <w:r>
        <w:rPr>
          <w:rFonts w:hint="eastAsia" w:ascii="Times New Roman" w:hAnsi="Times New Roman" w:eastAsia="仿宋" w:cs="仿宋"/>
          <w:sz w:val="32"/>
          <w:szCs w:val="32"/>
        </w:rPr>
        <w:t>保障措施</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进一步强化政治引领，维护发展稳定大局</w:t>
      </w:r>
    </w:p>
    <w:p>
      <w:pPr>
        <w:spacing w:line="500" w:lineRule="exact"/>
        <w:ind w:firstLine="640" w:firstLineChars="200"/>
        <w:jc w:val="left"/>
        <w:rPr>
          <w:rFonts w:ascii="仿宋" w:hAnsi="仿宋" w:eastAsia="仿宋"/>
          <w:sz w:val="32"/>
          <w:szCs w:val="32"/>
        </w:rPr>
      </w:pPr>
      <w:r>
        <w:rPr>
          <w:rFonts w:ascii="仿宋" w:hAnsi="仿宋" w:eastAsia="仿宋"/>
          <w:sz w:val="32"/>
          <w:szCs w:val="32"/>
        </w:rPr>
        <w:t>高举习近平新时代中国特色社会主义思想伟大旗帜，以党的政治建设为统领，抓好党建。以做思想政治工作为主要任务，坚定不移地担负起宣传、发动、组织、依靠科技工作者的历史责任和政治引领重任，团结引领广大科技工作者，尽职尽责，尽心尽力，为经济强县幸福隆尧而埋头工作，奉献智慧。</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进一步推动科协系统全面深化改革，提升组织力</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转变观念，提高认识，积极推动《隆尧县科协系统深化改革实施方案》的贯彻落实，眼睛向下，面向基层，进一步推动基层组织建设。加强园区科协、企业科协、学会、农技协等组织建设。推进“3+1”改革措施的落实，加强和完善乡镇科协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进一步履职尽责，增强服务能力</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组织好科普宣传、青少年科技教育等活动，积极帮助科技型中小企业、高新技术企业建立科技专家工作站，助力企业科技创新体系建设。</w:t>
      </w:r>
    </w:p>
    <w:bookmarkEnd w:id="0"/>
    <w:p>
      <w:pPr>
        <w:rPr>
          <w:rFonts w:hint="eastAsia" w:ascii="Times New Roman" w:hAnsi="Times New Roman" w:eastAsia="方正仿宋_GBK" w:cs="Times New Roman"/>
          <w:b/>
          <w:sz w:val="32"/>
          <w:szCs w:val="32"/>
        </w:rPr>
      </w:pPr>
      <w:bookmarkStart w:id="1" w:name="_Toc66068869"/>
    </w:p>
    <w:p>
      <w:pPr>
        <w:numPr>
          <w:ilvl w:val="0"/>
          <w:numId w:val="1"/>
        </w:numPr>
        <w:ind w:firstLine="643" w:firstLineChars="200"/>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专项资金绩效目标</w:t>
      </w:r>
    </w:p>
    <w:p>
      <w:pPr>
        <w:numPr>
          <w:ilvl w:val="0"/>
          <w:numId w:val="1"/>
        </w:numPr>
        <w:ind w:firstLine="643" w:firstLineChars="200"/>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val="en-US" w:eastAsia="zh-CN"/>
        </w:rPr>
        <w:t xml:space="preserve"> </w:t>
      </w:r>
      <w:r>
        <w:rPr>
          <w:rFonts w:hint="eastAsia" w:ascii="Times New Roman" w:hAnsi="Times New Roman" w:eastAsia="方正仿宋_GBK" w:cs="Times New Roman"/>
          <w:b/>
          <w:sz w:val="32"/>
          <w:szCs w:val="32"/>
        </w:rPr>
        <w:t>预算项目绩效目标</w:t>
      </w:r>
    </w:p>
    <w:p>
      <w:pPr>
        <w:ind w:firstLine="562" w:firstLineChars="200"/>
        <w:jc w:val="left"/>
        <w:outlineLvl w:val="3"/>
        <w:rPr>
          <w:rFonts w:ascii="Times New Roman" w:hAnsi="宋体"/>
          <w:b/>
          <w:sz w:val="28"/>
        </w:rPr>
      </w:pPr>
      <w:r>
        <w:rPr>
          <w:rFonts w:hint="eastAsia" w:ascii="方正仿宋_GBK" w:eastAsia="方正仿宋_GBK"/>
          <w:b/>
          <w:sz w:val="28"/>
        </w:rPr>
        <w:t>1.科普经费绩效目标表</w:t>
      </w:r>
      <w:bookmarkEnd w:id="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1、科普经费绩效目标表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731001</w:t>
            </w:r>
            <w:r>
              <w:rPr>
                <w:rFonts w:hint="eastAsia" w:ascii="方正书宋_GBK" w:eastAsia="方正书宋_GBK"/>
                <w:b/>
              </w:rPr>
              <w:t>隆尧县科学技术协会本级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13052521HCKAAB743CCBS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用于科普活动和科普设施更新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科普活动顺利进行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科普宣传正常运行</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科普设施宣传栏数量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科普设施宣传栏数量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宣传栏数量达到工作计划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科普教育培训合格率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科普教育培训合格人数的百分比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科普宣传按期完成率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科普宣传按期完成率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科普活动、科普培训成本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科普活动、科普培训成本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不超出计划成本金额</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传播力、影响力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提高科普宣传的传播力、影响力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得到广大受众认可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年初工作计划安排</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autoSpaceDE w:val="0"/>
        <w:autoSpaceDN w:val="0"/>
        <w:adjustRightInd w:val="0"/>
        <w:jc w:val="left"/>
        <w:rPr>
          <w:rFonts w:ascii="黑体" w:hAnsi="黑体" w:eastAsia="黑体" w:cs="黑体"/>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960" w:firstLineChars="300"/>
        <w:outlineLvl w:val="0"/>
        <w:rPr>
          <w:rFonts w:ascii="Times New Roman" w:hAnsi="Times New Roman" w:eastAsia="仿宋" w:cs="Times New Roman"/>
          <w:sz w:val="32"/>
          <w:szCs w:val="32"/>
        </w:rPr>
      </w:pPr>
      <w:bookmarkStart w:id="2" w:name="_Toc471398468"/>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rPr>
        <w:t>0.77</w:t>
      </w:r>
      <w:r>
        <w:rPr>
          <w:rFonts w:hint="eastAsia" w:ascii="Times New Roman" w:hAnsi="Times New Roman" w:eastAsia="仿宋" w:cs="仿宋"/>
          <w:sz w:val="32"/>
          <w:szCs w:val="32"/>
        </w:rPr>
        <w:t>万元。具体内容见下表。</w:t>
      </w:r>
      <w:bookmarkEnd w:id="2"/>
    </w:p>
    <w:p>
      <w:pPr>
        <w:jc w:val="center"/>
        <w:outlineLvl w:val="0"/>
        <w:rPr>
          <w:rFonts w:cs="Times New Roman"/>
        </w:rPr>
      </w:pPr>
      <w:bookmarkStart w:id="3" w:name="_Toc1996248"/>
      <w:r>
        <w:rPr>
          <w:rFonts w:hint="eastAsia" w:ascii="方正小标宋_GBK" w:eastAsia="方正小标宋_GBK" w:cs="方正小标宋_GBK"/>
          <w:sz w:val="32"/>
          <w:szCs w:val="32"/>
        </w:rPr>
        <w:t>部门政府采购预算</w:t>
      </w:r>
      <w:bookmarkEnd w:id="3"/>
      <w:r>
        <w:rPr>
          <w:rFonts w:cs="Times New Roman"/>
        </w:rPr>
        <w:br w:type="textWrapping" w:clear="all"/>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cs="方正小标宋_GBK"/>
                <w:sz w:val="24"/>
                <w:szCs w:val="24"/>
              </w:rPr>
              <w:t>731</w:t>
            </w:r>
            <w:r>
              <w:rPr>
                <w:rFonts w:hint="eastAsia" w:ascii="方正小标宋_GBK" w:eastAsia="方正小标宋_GBK" w:cs="方正小标宋_GBK"/>
                <w:sz w:val="24"/>
                <w:szCs w:val="24"/>
              </w:rPr>
              <w:t>隆尧县科协</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cs="方正书宋_GBK"/>
                <w:b/>
                <w:bCs/>
                <w:lang w:val="en-US" w:eastAsia="zh-CN"/>
              </w:rPr>
              <w:t>0.</w:t>
            </w:r>
            <w:r>
              <w:rPr>
                <w:rFonts w:hint="eastAsia" w:ascii="方正书宋_GBK" w:eastAsia="方正书宋_GBK" w:cs="方正书宋_GBK"/>
                <w:b/>
                <w:bCs/>
              </w:rPr>
              <w:t>77</w:t>
            </w:r>
          </w:p>
        </w:tc>
        <w:tc>
          <w:tcPr>
            <w:tcW w:w="1134"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cs="方正书宋_GBK"/>
                <w:b/>
                <w:bCs/>
                <w:lang w:val="en-US" w:eastAsia="zh-CN"/>
              </w:rPr>
              <w:t>0.</w:t>
            </w:r>
            <w:r>
              <w:rPr>
                <w:rFonts w:hint="eastAsia" w:ascii="方正书宋_GBK" w:eastAsia="方正书宋_GBK" w:cs="方正书宋_GBK"/>
                <w:b/>
                <w:bCs/>
              </w:rPr>
              <w:t>77</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cs="方正书宋_GBK"/>
                <w:b/>
                <w:bCs/>
              </w:rPr>
              <w:t>隆尧县科学技术协会小计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cs="方正书宋_GBK"/>
                <w:b/>
                <w:bCs/>
                <w:lang w:val="en-US" w:eastAsia="zh-CN"/>
              </w:rPr>
              <w:t>0.</w:t>
            </w:r>
            <w:r>
              <w:rPr>
                <w:rFonts w:hint="eastAsia" w:ascii="方正书宋_GBK" w:eastAsia="方正书宋_GBK" w:cs="方正书宋_GBK"/>
                <w:b/>
                <w:bCs/>
              </w:rPr>
              <w:t>77</w:t>
            </w:r>
          </w:p>
        </w:tc>
        <w:tc>
          <w:tcPr>
            <w:tcW w:w="1134"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cs="方正书宋_GBK"/>
                <w:b/>
                <w:bCs/>
                <w:lang w:val="en-US" w:eastAsia="zh-CN"/>
              </w:rPr>
              <w:t>0.</w:t>
            </w:r>
            <w:r>
              <w:rPr>
                <w:rFonts w:hint="eastAsia" w:ascii="方正书宋_GBK" w:eastAsia="方正书宋_GBK" w:cs="方正书宋_GBK"/>
                <w:b/>
                <w:bCs/>
              </w:rPr>
              <w:t>77</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cs="方正书宋_GBK"/>
              </w:rPr>
              <w:t>科普经费</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rPr>
              <w:t>10</w:t>
            </w:r>
            <w:r>
              <w:rPr>
                <w:rFonts w:hint="eastAsia" w:ascii="方正书宋_GBK" w:eastAsia="方正书宋_GBK" w:cs="方正书宋_GBK"/>
                <w:lang w:val="en-US" w:eastAsia="zh-CN"/>
              </w:rPr>
              <w:t>.</w:t>
            </w:r>
            <w:r>
              <w:rPr>
                <w:rFonts w:hint="eastAsia" w:ascii="方正书宋_GBK" w:eastAsia="方正书宋_GBK" w:cs="方正书宋_GBK"/>
              </w:rPr>
              <w:t>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cs="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cs="方正书宋_GBK"/>
              </w:rPr>
              <w:t>A09</w:t>
            </w:r>
            <w:r>
              <w:rPr>
                <w:rFonts w:hint="eastAsia" w:ascii="方正书宋_GBK" w:eastAsia="方正书宋_GBK" w:cs="方正书宋_GBK"/>
              </w:rPr>
              <w:t>0101</w:t>
            </w:r>
          </w:p>
        </w:tc>
        <w:tc>
          <w:tcPr>
            <w:tcW w:w="709" w:type="dxa"/>
            <w:shd w:val="clear" w:color="auto" w:fill="auto"/>
            <w:vAlign w:val="center"/>
          </w:tcPr>
          <w:p>
            <w:pPr>
              <w:spacing w:line="300" w:lineRule="exact"/>
              <w:jc w:val="left"/>
              <w:rPr>
                <w:rFonts w:ascii="方正书宋_GBK" w:eastAsia="方正书宋_GBK"/>
              </w:rPr>
            </w:pPr>
            <w:r>
              <w:rPr>
                <w:rFonts w:hint="eastAsia" w:ascii="方正书宋_GBK" w:eastAsia="方正书宋_GBK" w:cs="方正书宋_GBK"/>
              </w:rPr>
              <w:t>箱</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rPr>
              <w:t>15</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lang w:val="en-US" w:eastAsia="zh-CN"/>
              </w:rPr>
              <w:t>0.0</w:t>
            </w:r>
            <w:r>
              <w:rPr>
                <w:rFonts w:hint="eastAsia" w:ascii="方正书宋_GBK" w:eastAsia="方正书宋_GBK" w:cs="方正书宋_GBK"/>
              </w:rPr>
              <w:t>18</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lang w:val="en-US" w:eastAsia="zh-CN"/>
              </w:rPr>
              <w:t>0.</w:t>
            </w:r>
            <w:r>
              <w:rPr>
                <w:rFonts w:hint="eastAsia" w:ascii="方正书宋_GBK" w:eastAsia="方正书宋_GBK" w:cs="方正书宋_GBK"/>
              </w:rPr>
              <w:t>27</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lang w:val="en-US" w:eastAsia="zh-CN"/>
              </w:rPr>
              <w:t>0.</w:t>
            </w:r>
            <w:r>
              <w:rPr>
                <w:rFonts w:hint="eastAsia" w:ascii="方正书宋_GBK" w:eastAsia="方正书宋_GBK" w:cs="方正书宋_GBK"/>
              </w:rPr>
              <w:t>27</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cs="方正书宋_GBK"/>
              </w:rPr>
              <w:t>科普经费</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rPr>
              <w:t>10</w:t>
            </w:r>
            <w:r>
              <w:rPr>
                <w:rFonts w:hint="eastAsia" w:ascii="方正书宋_GBK" w:eastAsia="方正书宋_GBK" w:cs="方正书宋_GBK"/>
                <w:lang w:val="en-US" w:eastAsia="zh-CN"/>
              </w:rPr>
              <w:t>.</w:t>
            </w:r>
            <w:r>
              <w:rPr>
                <w:rFonts w:hint="eastAsia" w:ascii="方正书宋_GBK" w:eastAsia="方正书宋_GBK" w:cs="方正书宋_GBK"/>
              </w:rPr>
              <w:t>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cs="方正书宋_GBK"/>
              </w:rPr>
              <w:t>便携式计算机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cs="方正书宋_GBK"/>
              </w:rPr>
              <w:t>A</w:t>
            </w:r>
            <w:r>
              <w:rPr>
                <w:rFonts w:hint="eastAsia" w:ascii="方正书宋_GBK" w:eastAsia="方正书宋_GBK" w:cs="方正书宋_GBK"/>
              </w:rPr>
              <w:t>02010105</w:t>
            </w:r>
          </w:p>
        </w:tc>
        <w:tc>
          <w:tcPr>
            <w:tcW w:w="709" w:type="dxa"/>
            <w:shd w:val="clear" w:color="auto" w:fill="auto"/>
            <w:vAlign w:val="center"/>
          </w:tcPr>
          <w:p>
            <w:pPr>
              <w:spacing w:line="300" w:lineRule="exact"/>
              <w:jc w:val="left"/>
              <w:rPr>
                <w:rFonts w:ascii="方正书宋_GBK" w:eastAsia="方正书宋_GBK"/>
              </w:rPr>
            </w:pPr>
            <w:r>
              <w:rPr>
                <w:rFonts w:hint="eastAsia" w:ascii="方正书宋_GBK" w:eastAsia="方正书宋_GBK" w:cs="方正书宋_GBK"/>
              </w:rPr>
              <w:t>台</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rPr>
              <w:t>1</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lang w:val="en-US" w:eastAsia="zh-CN"/>
              </w:rPr>
              <w:t>0.</w:t>
            </w:r>
            <w:r>
              <w:rPr>
                <w:rFonts w:hint="eastAsia" w:ascii="方正书宋_GBK" w:eastAsia="方正书宋_GBK" w:cs="方正书宋_GBK"/>
              </w:rPr>
              <w:t>50</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lang w:val="en-US" w:eastAsia="zh-CN"/>
              </w:rPr>
              <w:t>0.</w:t>
            </w:r>
            <w:r>
              <w:rPr>
                <w:rFonts w:hint="eastAsia" w:ascii="方正书宋_GBK" w:eastAsia="方正书宋_GBK" w:cs="方正书宋_GBK"/>
              </w:rPr>
              <w:t>50</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lang w:val="en-US" w:eastAsia="zh-CN"/>
              </w:rPr>
              <w:t>0.</w:t>
            </w:r>
            <w:r>
              <w:rPr>
                <w:rFonts w:hint="eastAsia" w:ascii="方正书宋_GBK" w:eastAsia="方正书宋_GBK" w:cs="方正书宋_GBK"/>
              </w:rPr>
              <w:t>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rPr>
          <w:rFonts w:cs="Times New Roman"/>
        </w:rPr>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隆尧县科学技术协会</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rPr>
        <w:t>20</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2.03</w:t>
      </w:r>
      <w:r>
        <w:rPr>
          <w:rFonts w:hint="eastAsia" w:ascii="Times New Roman" w:hAnsi="Times New Roman" w:eastAsia="仿宋" w:cs="仿宋"/>
          <w:color w:val="000000"/>
          <w:sz w:val="32"/>
          <w:szCs w:val="32"/>
        </w:rPr>
        <w:t>万元（详见下表），本年度本单位拟购置固定资产总额为</w:t>
      </w:r>
      <w:r>
        <w:rPr>
          <w:rFonts w:ascii="Times New Roman" w:hAnsi="Times New Roman" w:eastAsia="仿宋" w:cs="Times New Roman"/>
          <w:color w:val="000000"/>
          <w:sz w:val="32"/>
          <w:szCs w:val="32"/>
        </w:rPr>
        <w:t>0</w:t>
      </w:r>
      <w:r>
        <w:rPr>
          <w:rFonts w:hint="eastAsia" w:ascii="Times New Roman" w:hAnsi="Times New Roman" w:eastAsia="仿宋" w:cs="Times New Roman"/>
          <w:color w:val="000000"/>
          <w:sz w:val="32"/>
          <w:szCs w:val="32"/>
        </w:rPr>
        <w:t>.5</w:t>
      </w:r>
      <w:r>
        <w:rPr>
          <w:rFonts w:hint="eastAsia" w:ascii="Times New Roman" w:hAnsi="Times New Roman" w:eastAsia="仿宋" w:cs="仿宋"/>
          <w:color w:val="000000"/>
          <w:sz w:val="32"/>
          <w:szCs w:val="32"/>
        </w:rPr>
        <w:t>万元，主要为笔记本电脑，已列入政府采购预算表，详见政府采购预算表。</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隆尧县科学技术协会固定资产占用情况表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编制部门：隆尧县科学技术协会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rPr>
              <w:t>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2.03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2.03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val="en-US" w:eastAsia="zh-CN"/>
        </w:rPr>
        <w:t>县级</w:t>
      </w:r>
      <w:r>
        <w:rPr>
          <w:rFonts w:hint="eastAsia" w:ascii="Times New Roman" w:hAnsi="Times New Roman" w:eastAsia="仿宋" w:cs="仿宋"/>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级财政预算管理的“三公”经费，是指</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w:t>
      </w:r>
      <w:r>
        <w:rPr>
          <w:rFonts w:hint="eastAsia" w:ascii="Times New Roman" w:hAnsi="Times New Roman" w:eastAsia="仿宋" w:cs="仿宋"/>
          <w:sz w:val="32"/>
          <w:szCs w:val="32"/>
        </w:rPr>
        <w:t>、上年结转：指以前年度尚未完成、结转到本年仍按原规定用途继续使用的资金。</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13C46A4-0BD4-41A5-993B-6688C45E817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embedRegular r:id="rId2" w:fontKey="{EC67A590-C29A-4792-8A2C-3859AD477885}"/>
  </w:font>
  <w:font w:name="仿宋">
    <w:panose1 w:val="02010609060101010101"/>
    <w:charset w:val="86"/>
    <w:family w:val="modern"/>
    <w:pitch w:val="default"/>
    <w:sig w:usb0="800002BF" w:usb1="38CF7CFA" w:usb2="00000016" w:usb3="00000000" w:csb0="00040001" w:csb1="00000000"/>
    <w:embedRegular r:id="rId3" w:fontKey="{F91DA2EA-CFF1-4BB8-9E83-1A43EDB8D569}"/>
  </w:font>
  <w:font w:name="仿宋_GB2312">
    <w:panose1 w:val="02010609030101010101"/>
    <w:charset w:val="86"/>
    <w:family w:val="modern"/>
    <w:pitch w:val="default"/>
    <w:sig w:usb0="00000001" w:usb1="080E0000" w:usb2="00000000" w:usb3="00000000" w:csb0="00040000" w:csb1="00000000"/>
    <w:embedRegular r:id="rId4" w:fontKey="{459A7B19-7B32-4F8E-865D-9116CFEB8AAD}"/>
  </w:font>
  <w:font w:name="方正书宋_GBK">
    <w:altName w:val="微软雅黑"/>
    <w:panose1 w:val="00000000000000000000"/>
    <w:charset w:val="86"/>
    <w:family w:val="script"/>
    <w:pitch w:val="default"/>
    <w:sig w:usb0="00000000" w:usb1="00000000" w:usb2="00000010" w:usb3="00000000" w:csb0="00040000" w:csb1="00000000"/>
    <w:embedRegular r:id="rId5" w:fontKey="{22669CB9-B151-489E-BC37-3A132516D24D}"/>
  </w:font>
  <w:font w:name="微软雅黑">
    <w:panose1 w:val="020B0503020204020204"/>
    <w:charset w:val="86"/>
    <w:family w:val="auto"/>
    <w:pitch w:val="default"/>
    <w:sig w:usb0="80000287" w:usb1="2ACF3C50" w:usb2="00000016" w:usb3="00000000" w:csb0="0004001F" w:csb1="00000000"/>
  </w:font>
  <w:font w:name="方正仿宋_GBK">
    <w:panose1 w:val="02000000000000000000"/>
    <w:charset w:val="86"/>
    <w:family w:val="roman"/>
    <w:pitch w:val="default"/>
    <w:sig w:usb0="A00002BF" w:usb1="38CF7CFA" w:usb2="00082016" w:usb3="00000000" w:csb0="00040001" w:csb1="00000000"/>
    <w:embedRegular r:id="rId6" w:fontKey="{9080B900-ED64-4412-BCE5-354E5AFD7624}"/>
  </w:font>
  <w:font w:name="宋体-方正超大字符集">
    <w:altName w:val="宋体"/>
    <w:panose1 w:val="00000000000000000000"/>
    <w:charset w:val="86"/>
    <w:family w:val="script"/>
    <w:pitch w:val="default"/>
    <w:sig w:usb0="00000000" w:usb1="00000000" w:usb2="00000010" w:usb3="00000000" w:csb0="00040000" w:csb1="00000000"/>
    <w:embedRegular r:id="rId7" w:fontKey="{70C918B4-0F57-49E4-BD72-F92E13884A16}"/>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6793DD"/>
    <w:multiLevelType w:val="singleLevel"/>
    <w:tmpl w:val="356793DD"/>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DY0ZmQ3NTZhMTAzZjE5MmNiNDBkOGIzYjkxNzU4NTUifQ=="/>
  </w:docVars>
  <w:rsids>
    <w:rsidRoot w:val="00C67CC4"/>
    <w:rsid w:val="0000235E"/>
    <w:rsid w:val="00061E11"/>
    <w:rsid w:val="0007132C"/>
    <w:rsid w:val="000847FE"/>
    <w:rsid w:val="000A426B"/>
    <w:rsid w:val="000B44B9"/>
    <w:rsid w:val="00104E81"/>
    <w:rsid w:val="0014424E"/>
    <w:rsid w:val="0015268F"/>
    <w:rsid w:val="00196498"/>
    <w:rsid w:val="00241670"/>
    <w:rsid w:val="00311CBC"/>
    <w:rsid w:val="003473FB"/>
    <w:rsid w:val="0035710A"/>
    <w:rsid w:val="00365B2A"/>
    <w:rsid w:val="003806C0"/>
    <w:rsid w:val="003A099E"/>
    <w:rsid w:val="003B5FF3"/>
    <w:rsid w:val="003D6E8F"/>
    <w:rsid w:val="003F4292"/>
    <w:rsid w:val="0046545D"/>
    <w:rsid w:val="004A565F"/>
    <w:rsid w:val="00517D06"/>
    <w:rsid w:val="00566159"/>
    <w:rsid w:val="00566D30"/>
    <w:rsid w:val="005F086D"/>
    <w:rsid w:val="00671E29"/>
    <w:rsid w:val="006B5163"/>
    <w:rsid w:val="0072329B"/>
    <w:rsid w:val="007941F0"/>
    <w:rsid w:val="007B2D95"/>
    <w:rsid w:val="007D4F47"/>
    <w:rsid w:val="007E1CC1"/>
    <w:rsid w:val="0083770E"/>
    <w:rsid w:val="008900B2"/>
    <w:rsid w:val="008B587F"/>
    <w:rsid w:val="008C440E"/>
    <w:rsid w:val="008D0620"/>
    <w:rsid w:val="00900B3F"/>
    <w:rsid w:val="009D154B"/>
    <w:rsid w:val="009F0C97"/>
    <w:rsid w:val="009F401F"/>
    <w:rsid w:val="00A5050A"/>
    <w:rsid w:val="00A7641B"/>
    <w:rsid w:val="00A91B61"/>
    <w:rsid w:val="00B22C2E"/>
    <w:rsid w:val="00B31B25"/>
    <w:rsid w:val="00B54A4E"/>
    <w:rsid w:val="00BB483A"/>
    <w:rsid w:val="00C22332"/>
    <w:rsid w:val="00C256DC"/>
    <w:rsid w:val="00C40AA4"/>
    <w:rsid w:val="00C66895"/>
    <w:rsid w:val="00C67CC4"/>
    <w:rsid w:val="00CF1F27"/>
    <w:rsid w:val="00D0065F"/>
    <w:rsid w:val="00D456E1"/>
    <w:rsid w:val="00D64CD0"/>
    <w:rsid w:val="00D8561C"/>
    <w:rsid w:val="00DD5F90"/>
    <w:rsid w:val="00DF74AF"/>
    <w:rsid w:val="00E029E2"/>
    <w:rsid w:val="00E400C9"/>
    <w:rsid w:val="00EC3709"/>
    <w:rsid w:val="00ED74D4"/>
    <w:rsid w:val="00F571E9"/>
    <w:rsid w:val="00F73D27"/>
    <w:rsid w:val="00F864C9"/>
    <w:rsid w:val="02D17B65"/>
    <w:rsid w:val="060350C2"/>
    <w:rsid w:val="06563431"/>
    <w:rsid w:val="0B8D1CB2"/>
    <w:rsid w:val="0BE70E5B"/>
    <w:rsid w:val="0E766CBA"/>
    <w:rsid w:val="10DA2F82"/>
    <w:rsid w:val="14D56A06"/>
    <w:rsid w:val="184279EE"/>
    <w:rsid w:val="189B62EB"/>
    <w:rsid w:val="194E5B3B"/>
    <w:rsid w:val="1A7A0585"/>
    <w:rsid w:val="1EAB4489"/>
    <w:rsid w:val="249771CC"/>
    <w:rsid w:val="28667412"/>
    <w:rsid w:val="2912392D"/>
    <w:rsid w:val="32495CAD"/>
    <w:rsid w:val="32D65763"/>
    <w:rsid w:val="355731F2"/>
    <w:rsid w:val="377209B5"/>
    <w:rsid w:val="38575800"/>
    <w:rsid w:val="3DE85218"/>
    <w:rsid w:val="3F2316E1"/>
    <w:rsid w:val="41D346AD"/>
    <w:rsid w:val="449372F7"/>
    <w:rsid w:val="44F22590"/>
    <w:rsid w:val="46743536"/>
    <w:rsid w:val="52715D3B"/>
    <w:rsid w:val="5419563E"/>
    <w:rsid w:val="55655E0C"/>
    <w:rsid w:val="59185C50"/>
    <w:rsid w:val="5F0366A8"/>
    <w:rsid w:val="60446B71"/>
    <w:rsid w:val="629A3F12"/>
    <w:rsid w:val="651C4AA0"/>
    <w:rsid w:val="67622E22"/>
    <w:rsid w:val="6B1D1355"/>
    <w:rsid w:val="6C5B3D3D"/>
    <w:rsid w:val="6DD2504F"/>
    <w:rsid w:val="70B134F4"/>
    <w:rsid w:val="71403800"/>
    <w:rsid w:val="757B0F46"/>
    <w:rsid w:val="76062F6C"/>
    <w:rsid w:val="7AA1423F"/>
    <w:rsid w:val="7EC24C09"/>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4"/>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table" w:styleId="8">
    <w:name w:val="Table Grid"/>
    <w:basedOn w:val="7"/>
    <w:qFormat/>
    <w:locked/>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semiHidden/>
    <w:qFormat/>
    <w:uiPriority w:val="99"/>
  </w:style>
  <w:style w:type="character" w:styleId="11">
    <w:name w:val="footnote reference"/>
    <w:basedOn w:val="9"/>
    <w:semiHidden/>
    <w:qFormat/>
    <w:uiPriority w:val="99"/>
    <w:rPr>
      <w:vertAlign w:val="superscript"/>
    </w:rPr>
  </w:style>
  <w:style w:type="character" w:customStyle="1" w:styleId="12">
    <w:name w:val="页脚 Char"/>
    <w:basedOn w:val="9"/>
    <w:link w:val="2"/>
    <w:semiHidden/>
    <w:qFormat/>
    <w:locked/>
    <w:uiPriority w:val="99"/>
    <w:rPr>
      <w:rFonts w:ascii="Times New Roman" w:hAnsi="Times New Roman" w:eastAsia="宋体" w:cs="Times New Roman"/>
      <w:sz w:val="18"/>
      <w:szCs w:val="18"/>
    </w:rPr>
  </w:style>
  <w:style w:type="character" w:customStyle="1" w:styleId="13">
    <w:name w:val="页眉 Char"/>
    <w:basedOn w:val="9"/>
    <w:link w:val="3"/>
    <w:semiHidden/>
    <w:qFormat/>
    <w:locked/>
    <w:uiPriority w:val="99"/>
    <w:rPr>
      <w:rFonts w:ascii="Times New Roman" w:hAnsi="Times New Roman" w:eastAsia="宋体" w:cs="Times New Roman"/>
      <w:sz w:val="18"/>
      <w:szCs w:val="18"/>
    </w:rPr>
  </w:style>
  <w:style w:type="character" w:customStyle="1" w:styleId="14">
    <w:name w:val="脚注文本 Char"/>
    <w:basedOn w:val="9"/>
    <w:link w:val="5"/>
    <w:semiHidden/>
    <w:qFormat/>
    <w:uiPriority w:val="99"/>
    <w:rPr>
      <w:rFonts w:ascii="Calibri" w:hAnsi="Calibri" w:cs="Calibri"/>
      <w:sz w:val="18"/>
      <w:szCs w:val="18"/>
    </w:rPr>
  </w:style>
  <w:style w:type="paragraph" w:customStyle="1" w:styleId="15">
    <w:name w:val="Char"/>
    <w:basedOn w:val="1"/>
    <w:qFormat/>
    <w:uiPriority w:val="99"/>
    <w:rPr>
      <w:rFonts w:ascii="Times New Roman" w:hAnsi="Times New Roman" w:cs="Times New Roma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C10CE2F-BC6C-41BD-9166-1DDE0511CD22}">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10</Pages>
  <Words>3165</Words>
  <Characters>3374</Characters>
  <Lines>25</Lines>
  <Paragraphs>7</Paragraphs>
  <TotalTime>0</TotalTime>
  <ScaleCrop>false</ScaleCrop>
  <LinksUpToDate>false</LinksUpToDate>
  <CharactersWithSpaces>3385</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2021-03-11T02:47:00Z</dcterms:created>
  <dc:creator>guest</dc:creator>
  <cp:lastModifiedBy>杨雪雪</cp:lastModifiedBy>
  <cp:lastPrinted>2017-02-10T09:57:00Z</cp:lastPrinted>
  <dcterms:modified xsi:type="dcterms:W3CDTF">2022-08-30T09:08:36Z</dcterms:modified>
  <dc:title>o</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4E578B02CA684ECBB467978B1559E6E6</vt:lpwstr>
  </property>
</Properties>
</file>