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21</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一、中共隆尧县委网络安全和信息化委员会办公室本级 收支预算</w:t>
      </w:r>
      <w:r>
        <w:tab/>
      </w:r>
      <w:r>
        <w:fldChar w:fldCharType="begin"/>
      </w:r>
      <w:r>
        <w:instrText xml:space="preserve">PAGEREF _Toc_4_4_0000000019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108.35</w:t>
            </w:r>
          </w:p>
        </w:tc>
        <w:tc>
          <w:tcPr>
            <w:tcW w:w="4535" w:type="dxa"/>
            <w:vAlign w:val="center"/>
          </w:tcPr>
          <w:p>
            <w:pPr>
              <w:pStyle w:val="14"/>
            </w:pPr>
            <w:r>
              <w:t>一、一般公共服务支出</w:t>
            </w:r>
          </w:p>
        </w:tc>
        <w:tc>
          <w:tcPr>
            <w:tcW w:w="2126" w:type="dxa"/>
            <w:vAlign w:val="center"/>
          </w:tcPr>
          <w:p>
            <w:pPr>
              <w:pStyle w:val="13"/>
            </w:pPr>
            <w:r>
              <w:t>92.54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108.35</w:t>
            </w:r>
          </w:p>
        </w:tc>
        <w:tc>
          <w:tcPr>
            <w:tcW w:w="4535" w:type="dxa"/>
            <w:vAlign w:val="center"/>
          </w:tcPr>
          <w:p>
            <w:pPr>
              <w:pStyle w:val="16"/>
            </w:pPr>
            <w:r>
              <w:t>本年支出合计</w:t>
            </w:r>
          </w:p>
        </w:tc>
        <w:tc>
          <w:tcPr>
            <w:tcW w:w="2126" w:type="dxa"/>
            <w:vAlign w:val="center"/>
          </w:tcPr>
          <w:p>
            <w:pPr>
              <w:pStyle w:val="17"/>
            </w:pPr>
            <w:r>
              <w:t>108.35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108.35</w:t>
            </w:r>
          </w:p>
        </w:tc>
        <w:tc>
          <w:tcPr>
            <w:tcW w:w="4535" w:type="dxa"/>
            <w:vAlign w:val="center"/>
          </w:tcPr>
          <w:p>
            <w:pPr>
              <w:pStyle w:val="16"/>
            </w:pPr>
            <w:r>
              <w:t>支出总计</w:t>
            </w:r>
          </w:p>
        </w:tc>
        <w:tc>
          <w:tcPr>
            <w:tcW w:w="2126" w:type="dxa"/>
            <w:vAlign w:val="center"/>
          </w:tcPr>
          <w:p>
            <w:pPr>
              <w:pStyle w:val="17"/>
            </w:pPr>
            <w:r>
              <w:t>108.35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108.35</w:t>
            </w:r>
          </w:p>
        </w:tc>
        <w:tc>
          <w:tcPr>
            <w:tcW w:w="1134" w:type="dxa"/>
            <w:vAlign w:val="center"/>
          </w:tcPr>
          <w:p>
            <w:pPr>
              <w:pStyle w:val="17"/>
            </w:pPr>
            <w:r>
              <w:t>108.35</w:t>
            </w:r>
          </w:p>
        </w:tc>
        <w:tc>
          <w:tcPr>
            <w:tcW w:w="1134" w:type="dxa"/>
            <w:vAlign w:val="center"/>
          </w:tcPr>
          <w:p>
            <w:pPr>
              <w:pStyle w:val="17"/>
            </w:pPr>
            <w:r>
              <w:t>108.35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92.54</w:t>
            </w:r>
          </w:p>
        </w:tc>
        <w:tc>
          <w:tcPr>
            <w:tcW w:w="1134" w:type="dxa"/>
            <w:vAlign w:val="center"/>
          </w:tcPr>
          <w:p>
            <w:pPr>
              <w:pStyle w:val="13"/>
            </w:pPr>
            <w:r>
              <w:t>92.54</w:t>
            </w:r>
          </w:p>
        </w:tc>
        <w:tc>
          <w:tcPr>
            <w:tcW w:w="1134" w:type="dxa"/>
            <w:vAlign w:val="center"/>
          </w:tcPr>
          <w:p>
            <w:pPr>
              <w:pStyle w:val="13"/>
            </w:pPr>
            <w:r>
              <w:t>92.54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20137</w:t>
            </w:r>
          </w:p>
        </w:tc>
        <w:tc>
          <w:tcPr>
            <w:tcW w:w="1559" w:type="dxa"/>
            <w:vAlign w:val="center"/>
          </w:tcPr>
          <w:p>
            <w:pPr>
              <w:pStyle w:val="14"/>
            </w:pPr>
            <w:r>
              <w:t>网信事务</w:t>
            </w:r>
          </w:p>
        </w:tc>
        <w:tc>
          <w:tcPr>
            <w:tcW w:w="1134" w:type="dxa"/>
            <w:vAlign w:val="center"/>
          </w:tcPr>
          <w:p>
            <w:pPr>
              <w:pStyle w:val="13"/>
            </w:pPr>
            <w:r>
              <w:t>92.54</w:t>
            </w:r>
          </w:p>
        </w:tc>
        <w:tc>
          <w:tcPr>
            <w:tcW w:w="1134" w:type="dxa"/>
            <w:vAlign w:val="center"/>
          </w:tcPr>
          <w:p>
            <w:pPr>
              <w:pStyle w:val="13"/>
            </w:pPr>
            <w:r>
              <w:t>92.54</w:t>
            </w:r>
          </w:p>
        </w:tc>
        <w:tc>
          <w:tcPr>
            <w:tcW w:w="1134" w:type="dxa"/>
            <w:vAlign w:val="center"/>
          </w:tcPr>
          <w:p>
            <w:pPr>
              <w:pStyle w:val="13"/>
            </w:pPr>
            <w:r>
              <w:t>92.54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2013701</w:t>
            </w:r>
          </w:p>
        </w:tc>
        <w:tc>
          <w:tcPr>
            <w:tcW w:w="1559" w:type="dxa"/>
            <w:vAlign w:val="center"/>
          </w:tcPr>
          <w:p>
            <w:pPr>
              <w:pStyle w:val="14"/>
            </w:pPr>
            <w:r>
              <w:t>行政运行</w:t>
            </w:r>
          </w:p>
        </w:tc>
        <w:tc>
          <w:tcPr>
            <w:tcW w:w="1134" w:type="dxa"/>
            <w:vAlign w:val="center"/>
          </w:tcPr>
          <w:p>
            <w:pPr>
              <w:pStyle w:val="13"/>
            </w:pPr>
            <w:r>
              <w:t>62.54</w:t>
            </w:r>
          </w:p>
        </w:tc>
        <w:tc>
          <w:tcPr>
            <w:tcW w:w="1134" w:type="dxa"/>
            <w:vAlign w:val="center"/>
          </w:tcPr>
          <w:p>
            <w:pPr>
              <w:pStyle w:val="13"/>
            </w:pPr>
            <w:r>
              <w:t>62.54</w:t>
            </w:r>
          </w:p>
        </w:tc>
        <w:tc>
          <w:tcPr>
            <w:tcW w:w="1134" w:type="dxa"/>
            <w:vAlign w:val="center"/>
          </w:tcPr>
          <w:p>
            <w:pPr>
              <w:pStyle w:val="13"/>
            </w:pPr>
            <w:r>
              <w:t>62.54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2013702</w:t>
            </w:r>
          </w:p>
        </w:tc>
        <w:tc>
          <w:tcPr>
            <w:tcW w:w="1559" w:type="dxa"/>
            <w:vAlign w:val="center"/>
          </w:tcPr>
          <w:p>
            <w:pPr>
              <w:pStyle w:val="14"/>
            </w:pPr>
            <w:r>
              <w:t>一般行政管理事务</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108.35</w:t>
            </w:r>
          </w:p>
        </w:tc>
        <w:tc>
          <w:tcPr>
            <w:tcW w:w="1361" w:type="dxa"/>
            <w:vAlign w:val="center"/>
          </w:tcPr>
          <w:p>
            <w:pPr>
              <w:pStyle w:val="17"/>
            </w:pPr>
            <w:r>
              <w:t>78.35</w:t>
            </w:r>
          </w:p>
        </w:tc>
        <w:tc>
          <w:tcPr>
            <w:tcW w:w="1361" w:type="dxa"/>
            <w:vAlign w:val="center"/>
          </w:tcPr>
          <w:p>
            <w:pPr>
              <w:pStyle w:val="17"/>
            </w:pPr>
            <w:r>
              <w:t>30.00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92.54</w:t>
            </w:r>
          </w:p>
        </w:tc>
        <w:tc>
          <w:tcPr>
            <w:tcW w:w="1361" w:type="dxa"/>
            <w:vAlign w:val="center"/>
          </w:tcPr>
          <w:p>
            <w:pPr>
              <w:pStyle w:val="13"/>
            </w:pPr>
            <w:r>
              <w:t>62.54</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20137</w:t>
            </w:r>
          </w:p>
        </w:tc>
        <w:tc>
          <w:tcPr>
            <w:tcW w:w="4535" w:type="dxa"/>
            <w:vAlign w:val="center"/>
          </w:tcPr>
          <w:p>
            <w:pPr>
              <w:pStyle w:val="14"/>
            </w:pPr>
            <w:r>
              <w:t>网信事务</w:t>
            </w:r>
          </w:p>
        </w:tc>
        <w:tc>
          <w:tcPr>
            <w:tcW w:w="1361" w:type="dxa"/>
            <w:vAlign w:val="center"/>
          </w:tcPr>
          <w:p>
            <w:pPr>
              <w:pStyle w:val="13"/>
            </w:pPr>
            <w:r>
              <w:t>92.54</w:t>
            </w:r>
          </w:p>
        </w:tc>
        <w:tc>
          <w:tcPr>
            <w:tcW w:w="1361" w:type="dxa"/>
            <w:vAlign w:val="center"/>
          </w:tcPr>
          <w:p>
            <w:pPr>
              <w:pStyle w:val="13"/>
            </w:pPr>
            <w:r>
              <w:t>62.54</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2013701</w:t>
            </w:r>
          </w:p>
        </w:tc>
        <w:tc>
          <w:tcPr>
            <w:tcW w:w="4535" w:type="dxa"/>
            <w:vAlign w:val="center"/>
          </w:tcPr>
          <w:p>
            <w:pPr>
              <w:pStyle w:val="14"/>
            </w:pPr>
            <w:r>
              <w:t>行政运行</w:t>
            </w:r>
          </w:p>
        </w:tc>
        <w:tc>
          <w:tcPr>
            <w:tcW w:w="1361" w:type="dxa"/>
            <w:vAlign w:val="center"/>
          </w:tcPr>
          <w:p>
            <w:pPr>
              <w:pStyle w:val="13"/>
            </w:pPr>
            <w:r>
              <w:t>62.54</w:t>
            </w:r>
          </w:p>
        </w:tc>
        <w:tc>
          <w:tcPr>
            <w:tcW w:w="1361" w:type="dxa"/>
            <w:vAlign w:val="center"/>
          </w:tcPr>
          <w:p>
            <w:pPr>
              <w:pStyle w:val="13"/>
            </w:pPr>
            <w:r>
              <w:t>62.54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2013702</w:t>
            </w:r>
          </w:p>
        </w:tc>
        <w:tc>
          <w:tcPr>
            <w:tcW w:w="4535" w:type="dxa"/>
            <w:vAlign w:val="center"/>
          </w:tcPr>
          <w:p>
            <w:pPr>
              <w:pStyle w:val="14"/>
            </w:pPr>
            <w:r>
              <w:t>一般行政管理事务</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6.51</w:t>
            </w:r>
          </w:p>
        </w:tc>
        <w:tc>
          <w:tcPr>
            <w:tcW w:w="1361" w:type="dxa"/>
            <w:vAlign w:val="center"/>
          </w:tcPr>
          <w:p>
            <w:pPr>
              <w:pStyle w:val="13"/>
            </w:pPr>
            <w:r>
              <w:t>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6.51</w:t>
            </w:r>
          </w:p>
        </w:tc>
        <w:tc>
          <w:tcPr>
            <w:tcW w:w="1361" w:type="dxa"/>
            <w:vAlign w:val="center"/>
          </w:tcPr>
          <w:p>
            <w:pPr>
              <w:pStyle w:val="13"/>
            </w:pPr>
            <w:r>
              <w:t>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6.51</w:t>
            </w:r>
          </w:p>
        </w:tc>
        <w:tc>
          <w:tcPr>
            <w:tcW w:w="1361" w:type="dxa"/>
            <w:vAlign w:val="center"/>
          </w:tcPr>
          <w:p>
            <w:pPr>
              <w:pStyle w:val="13"/>
            </w:pPr>
            <w:r>
              <w:t>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3.66</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3.66</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3.66</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5.65</w:t>
            </w:r>
          </w:p>
        </w:tc>
        <w:tc>
          <w:tcPr>
            <w:tcW w:w="1361" w:type="dxa"/>
            <w:vAlign w:val="center"/>
          </w:tcPr>
          <w:p>
            <w:pPr>
              <w:pStyle w:val="13"/>
            </w:pPr>
            <w:r>
              <w:t>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5.65</w:t>
            </w:r>
          </w:p>
        </w:tc>
        <w:tc>
          <w:tcPr>
            <w:tcW w:w="1361" w:type="dxa"/>
            <w:vAlign w:val="center"/>
          </w:tcPr>
          <w:p>
            <w:pPr>
              <w:pStyle w:val="13"/>
            </w:pPr>
            <w:r>
              <w:t>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5.65</w:t>
            </w:r>
          </w:p>
        </w:tc>
        <w:tc>
          <w:tcPr>
            <w:tcW w:w="1361" w:type="dxa"/>
            <w:vAlign w:val="center"/>
          </w:tcPr>
          <w:p>
            <w:pPr>
              <w:pStyle w:val="13"/>
            </w:pPr>
            <w:r>
              <w:t>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108.35</w:t>
            </w:r>
          </w:p>
        </w:tc>
        <w:tc>
          <w:tcPr>
            <w:tcW w:w="3402" w:type="dxa"/>
            <w:vAlign w:val="center"/>
          </w:tcPr>
          <w:p>
            <w:pPr>
              <w:pStyle w:val="14"/>
            </w:pPr>
            <w:r>
              <w:t>一、一般公共服务支出</w:t>
            </w:r>
          </w:p>
        </w:tc>
        <w:tc>
          <w:tcPr>
            <w:tcW w:w="1474" w:type="dxa"/>
            <w:vAlign w:val="center"/>
          </w:tcPr>
          <w:p>
            <w:pPr>
              <w:pStyle w:val="13"/>
            </w:pPr>
            <w:r>
              <w:t>92.54</w:t>
            </w:r>
          </w:p>
        </w:tc>
        <w:tc>
          <w:tcPr>
            <w:tcW w:w="1474" w:type="dxa"/>
            <w:vAlign w:val="center"/>
          </w:tcPr>
          <w:p>
            <w:pPr>
              <w:pStyle w:val="13"/>
            </w:pPr>
            <w:r>
              <w:t>92.54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6.51</w:t>
            </w:r>
          </w:p>
        </w:tc>
        <w:tc>
          <w:tcPr>
            <w:tcW w:w="1474" w:type="dxa"/>
            <w:vAlign w:val="center"/>
          </w:tcPr>
          <w:p>
            <w:pPr>
              <w:pStyle w:val="13"/>
            </w:pPr>
            <w:r>
              <w:t>6.51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3.66</w:t>
            </w:r>
          </w:p>
        </w:tc>
        <w:tc>
          <w:tcPr>
            <w:tcW w:w="1474" w:type="dxa"/>
            <w:vAlign w:val="center"/>
          </w:tcPr>
          <w:p>
            <w:pPr>
              <w:pStyle w:val="13"/>
            </w:pPr>
            <w:r>
              <w:t>3.66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5.65</w:t>
            </w:r>
          </w:p>
        </w:tc>
        <w:tc>
          <w:tcPr>
            <w:tcW w:w="1474" w:type="dxa"/>
            <w:vAlign w:val="center"/>
          </w:tcPr>
          <w:p>
            <w:pPr>
              <w:pStyle w:val="13"/>
            </w:pPr>
            <w:r>
              <w:t>5.65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108.35</w:t>
            </w:r>
          </w:p>
        </w:tc>
        <w:tc>
          <w:tcPr>
            <w:tcW w:w="3402" w:type="dxa"/>
            <w:vAlign w:val="center"/>
          </w:tcPr>
          <w:p>
            <w:pPr>
              <w:pStyle w:val="16"/>
            </w:pPr>
            <w:r>
              <w:t>本年支出合计</w:t>
            </w:r>
          </w:p>
        </w:tc>
        <w:tc>
          <w:tcPr>
            <w:tcW w:w="1474" w:type="dxa"/>
            <w:vAlign w:val="center"/>
          </w:tcPr>
          <w:p>
            <w:pPr>
              <w:pStyle w:val="17"/>
            </w:pPr>
            <w:r>
              <w:t>108.35</w:t>
            </w:r>
          </w:p>
        </w:tc>
        <w:tc>
          <w:tcPr>
            <w:tcW w:w="1474" w:type="dxa"/>
            <w:vAlign w:val="center"/>
          </w:tcPr>
          <w:p>
            <w:pPr>
              <w:pStyle w:val="17"/>
            </w:pPr>
            <w:r>
              <w:t>108.35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108.35</w:t>
            </w:r>
          </w:p>
        </w:tc>
        <w:tc>
          <w:tcPr>
            <w:tcW w:w="3402" w:type="dxa"/>
            <w:vAlign w:val="center"/>
          </w:tcPr>
          <w:p>
            <w:pPr>
              <w:pStyle w:val="16"/>
            </w:pPr>
            <w:r>
              <w:t>支出总计</w:t>
            </w:r>
          </w:p>
        </w:tc>
        <w:tc>
          <w:tcPr>
            <w:tcW w:w="1474" w:type="dxa"/>
            <w:vAlign w:val="center"/>
          </w:tcPr>
          <w:p>
            <w:pPr>
              <w:pStyle w:val="17"/>
            </w:pPr>
            <w:r>
              <w:t>108.35</w:t>
            </w:r>
          </w:p>
        </w:tc>
        <w:tc>
          <w:tcPr>
            <w:tcW w:w="1474" w:type="dxa"/>
            <w:vAlign w:val="center"/>
          </w:tcPr>
          <w:p>
            <w:pPr>
              <w:pStyle w:val="17"/>
            </w:pPr>
            <w:r>
              <w:t>108.35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108.35</w:t>
            </w:r>
          </w:p>
        </w:tc>
        <w:tc>
          <w:tcPr>
            <w:tcW w:w="2551" w:type="dxa"/>
            <w:vAlign w:val="center"/>
          </w:tcPr>
          <w:p>
            <w:pPr>
              <w:pStyle w:val="17"/>
            </w:pPr>
            <w:r>
              <w:t>78.35</w:t>
            </w:r>
          </w:p>
        </w:tc>
        <w:tc>
          <w:tcPr>
            <w:tcW w:w="2551" w:type="dxa"/>
            <w:vAlign w:val="center"/>
          </w:tcPr>
          <w:p>
            <w:pPr>
              <w:pStyle w:val="17"/>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92.54</w:t>
            </w:r>
          </w:p>
        </w:tc>
        <w:tc>
          <w:tcPr>
            <w:tcW w:w="2551" w:type="dxa"/>
            <w:vAlign w:val="center"/>
          </w:tcPr>
          <w:p>
            <w:pPr>
              <w:pStyle w:val="13"/>
            </w:pPr>
            <w:r>
              <w:t>62.54</w:t>
            </w: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20137</w:t>
            </w:r>
          </w:p>
        </w:tc>
        <w:tc>
          <w:tcPr>
            <w:tcW w:w="4535" w:type="dxa"/>
            <w:vAlign w:val="center"/>
          </w:tcPr>
          <w:p>
            <w:pPr>
              <w:pStyle w:val="14"/>
            </w:pPr>
            <w:r>
              <w:t>网信事务</w:t>
            </w:r>
          </w:p>
        </w:tc>
        <w:tc>
          <w:tcPr>
            <w:tcW w:w="2551" w:type="dxa"/>
            <w:vAlign w:val="center"/>
          </w:tcPr>
          <w:p>
            <w:pPr>
              <w:pStyle w:val="13"/>
            </w:pPr>
            <w:r>
              <w:t>92.54</w:t>
            </w:r>
          </w:p>
        </w:tc>
        <w:tc>
          <w:tcPr>
            <w:tcW w:w="2551" w:type="dxa"/>
            <w:vAlign w:val="center"/>
          </w:tcPr>
          <w:p>
            <w:pPr>
              <w:pStyle w:val="13"/>
            </w:pPr>
            <w:r>
              <w:t>62.54</w:t>
            </w: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2013701</w:t>
            </w:r>
          </w:p>
        </w:tc>
        <w:tc>
          <w:tcPr>
            <w:tcW w:w="4535" w:type="dxa"/>
            <w:vAlign w:val="center"/>
          </w:tcPr>
          <w:p>
            <w:pPr>
              <w:pStyle w:val="14"/>
            </w:pPr>
            <w:r>
              <w:t>行政运行</w:t>
            </w:r>
          </w:p>
        </w:tc>
        <w:tc>
          <w:tcPr>
            <w:tcW w:w="2551" w:type="dxa"/>
            <w:vAlign w:val="center"/>
          </w:tcPr>
          <w:p>
            <w:pPr>
              <w:pStyle w:val="13"/>
            </w:pPr>
            <w:r>
              <w:t>62.54</w:t>
            </w:r>
          </w:p>
        </w:tc>
        <w:tc>
          <w:tcPr>
            <w:tcW w:w="2551" w:type="dxa"/>
            <w:vAlign w:val="center"/>
          </w:tcPr>
          <w:p>
            <w:pPr>
              <w:pStyle w:val="13"/>
            </w:pPr>
            <w:r>
              <w:t>62.54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2013702</w:t>
            </w:r>
          </w:p>
        </w:tc>
        <w:tc>
          <w:tcPr>
            <w:tcW w:w="4535" w:type="dxa"/>
            <w:vAlign w:val="center"/>
          </w:tcPr>
          <w:p>
            <w:pPr>
              <w:pStyle w:val="14"/>
            </w:pPr>
            <w:r>
              <w:t>一般行政管理事务</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6.51</w:t>
            </w:r>
          </w:p>
        </w:tc>
        <w:tc>
          <w:tcPr>
            <w:tcW w:w="2551" w:type="dxa"/>
            <w:vAlign w:val="center"/>
          </w:tcPr>
          <w:p>
            <w:pPr>
              <w:pStyle w:val="13"/>
            </w:pPr>
            <w:r>
              <w:t>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6.51</w:t>
            </w:r>
          </w:p>
        </w:tc>
        <w:tc>
          <w:tcPr>
            <w:tcW w:w="2551" w:type="dxa"/>
            <w:vAlign w:val="center"/>
          </w:tcPr>
          <w:p>
            <w:pPr>
              <w:pStyle w:val="13"/>
            </w:pPr>
            <w:r>
              <w:t>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6.51</w:t>
            </w:r>
          </w:p>
        </w:tc>
        <w:tc>
          <w:tcPr>
            <w:tcW w:w="2551" w:type="dxa"/>
            <w:vAlign w:val="center"/>
          </w:tcPr>
          <w:p>
            <w:pPr>
              <w:pStyle w:val="13"/>
            </w:pPr>
            <w:r>
              <w:t>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3.66</w:t>
            </w:r>
          </w:p>
        </w:tc>
        <w:tc>
          <w:tcPr>
            <w:tcW w:w="2551" w:type="dxa"/>
            <w:vAlign w:val="center"/>
          </w:tcPr>
          <w:p>
            <w:pPr>
              <w:pStyle w:val="13"/>
            </w:pPr>
            <w:r>
              <w:t>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3.66</w:t>
            </w:r>
          </w:p>
        </w:tc>
        <w:tc>
          <w:tcPr>
            <w:tcW w:w="2551" w:type="dxa"/>
            <w:vAlign w:val="center"/>
          </w:tcPr>
          <w:p>
            <w:pPr>
              <w:pStyle w:val="13"/>
            </w:pPr>
            <w:r>
              <w:t>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3.66</w:t>
            </w:r>
          </w:p>
        </w:tc>
        <w:tc>
          <w:tcPr>
            <w:tcW w:w="2551" w:type="dxa"/>
            <w:vAlign w:val="center"/>
          </w:tcPr>
          <w:p>
            <w:pPr>
              <w:pStyle w:val="13"/>
            </w:pPr>
            <w:r>
              <w:t>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5.65</w:t>
            </w:r>
          </w:p>
        </w:tc>
        <w:tc>
          <w:tcPr>
            <w:tcW w:w="2551" w:type="dxa"/>
            <w:vAlign w:val="center"/>
          </w:tcPr>
          <w:p>
            <w:pPr>
              <w:pStyle w:val="13"/>
            </w:pPr>
            <w:r>
              <w:t>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5.65</w:t>
            </w:r>
          </w:p>
        </w:tc>
        <w:tc>
          <w:tcPr>
            <w:tcW w:w="2551" w:type="dxa"/>
            <w:vAlign w:val="center"/>
          </w:tcPr>
          <w:p>
            <w:pPr>
              <w:pStyle w:val="13"/>
            </w:pPr>
            <w:r>
              <w:t>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5.65</w:t>
            </w:r>
          </w:p>
        </w:tc>
        <w:tc>
          <w:tcPr>
            <w:tcW w:w="2551" w:type="dxa"/>
            <w:vAlign w:val="center"/>
          </w:tcPr>
          <w:p>
            <w:pPr>
              <w:pStyle w:val="13"/>
            </w:pPr>
            <w:r>
              <w:t>5.65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78.35</w:t>
            </w:r>
          </w:p>
        </w:tc>
        <w:tc>
          <w:tcPr>
            <w:tcW w:w="2551" w:type="dxa"/>
            <w:vAlign w:val="center"/>
          </w:tcPr>
          <w:p>
            <w:pPr>
              <w:pStyle w:val="17"/>
            </w:pPr>
            <w:r>
              <w:t>69.73</w:t>
            </w:r>
          </w:p>
        </w:tc>
        <w:tc>
          <w:tcPr>
            <w:tcW w:w="2551" w:type="dxa"/>
            <w:vAlign w:val="center"/>
          </w:tcPr>
          <w:p>
            <w:pPr>
              <w:pStyle w:val="17"/>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69.73</w:t>
            </w:r>
          </w:p>
        </w:tc>
        <w:tc>
          <w:tcPr>
            <w:tcW w:w="2551" w:type="dxa"/>
            <w:vAlign w:val="center"/>
          </w:tcPr>
          <w:p>
            <w:pPr>
              <w:pStyle w:val="13"/>
            </w:pPr>
            <w:r>
              <w:t>69.73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26.51</w:t>
            </w:r>
          </w:p>
        </w:tc>
        <w:tc>
          <w:tcPr>
            <w:tcW w:w="2551" w:type="dxa"/>
            <w:vAlign w:val="center"/>
          </w:tcPr>
          <w:p>
            <w:pPr>
              <w:pStyle w:val="13"/>
            </w:pPr>
            <w:r>
              <w:t>26.51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20.21</w:t>
            </w:r>
          </w:p>
        </w:tc>
        <w:tc>
          <w:tcPr>
            <w:tcW w:w="2551" w:type="dxa"/>
            <w:vAlign w:val="center"/>
          </w:tcPr>
          <w:p>
            <w:pPr>
              <w:pStyle w:val="13"/>
            </w:pPr>
            <w:r>
              <w:t>20.21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2.21</w:t>
            </w:r>
          </w:p>
        </w:tc>
        <w:tc>
          <w:tcPr>
            <w:tcW w:w="2551" w:type="dxa"/>
            <w:vAlign w:val="center"/>
          </w:tcPr>
          <w:p>
            <w:pPr>
              <w:pStyle w:val="13"/>
            </w:pPr>
            <w:r>
              <w:t>2.21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4.30</w:t>
            </w:r>
          </w:p>
        </w:tc>
        <w:tc>
          <w:tcPr>
            <w:tcW w:w="2551" w:type="dxa"/>
            <w:vAlign w:val="center"/>
          </w:tcPr>
          <w:p>
            <w:pPr>
              <w:pStyle w:val="13"/>
            </w:pPr>
            <w:r>
              <w:t>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6.51</w:t>
            </w:r>
          </w:p>
        </w:tc>
        <w:tc>
          <w:tcPr>
            <w:tcW w:w="2551" w:type="dxa"/>
            <w:vAlign w:val="center"/>
          </w:tcPr>
          <w:p>
            <w:pPr>
              <w:pStyle w:val="13"/>
            </w:pPr>
            <w:r>
              <w:t>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3.66</w:t>
            </w:r>
          </w:p>
        </w:tc>
        <w:tc>
          <w:tcPr>
            <w:tcW w:w="2551" w:type="dxa"/>
            <w:vAlign w:val="center"/>
          </w:tcPr>
          <w:p>
            <w:pPr>
              <w:pStyle w:val="13"/>
            </w:pPr>
            <w:r>
              <w:t>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0.69</w:t>
            </w:r>
          </w:p>
        </w:tc>
        <w:tc>
          <w:tcPr>
            <w:tcW w:w="2551" w:type="dxa"/>
            <w:vAlign w:val="center"/>
          </w:tcPr>
          <w:p>
            <w:pPr>
              <w:pStyle w:val="13"/>
            </w:pPr>
            <w:r>
              <w:t>0.69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5.65</w:t>
            </w:r>
          </w:p>
        </w:tc>
        <w:tc>
          <w:tcPr>
            <w:tcW w:w="2551" w:type="dxa"/>
            <w:vAlign w:val="center"/>
          </w:tcPr>
          <w:p>
            <w:pPr>
              <w:pStyle w:val="13"/>
            </w:pPr>
            <w:r>
              <w:t>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8.62</w:t>
            </w:r>
          </w:p>
        </w:tc>
        <w:tc>
          <w:tcPr>
            <w:tcW w:w="2551" w:type="dxa"/>
            <w:vAlign w:val="center"/>
          </w:tcPr>
          <w:p>
            <w:pPr>
              <w:pStyle w:val="13"/>
            </w:pPr>
          </w:p>
        </w:tc>
        <w:tc>
          <w:tcPr>
            <w:tcW w:w="2551" w:type="dxa"/>
            <w:vAlign w:val="center"/>
          </w:tcPr>
          <w:p>
            <w:pPr>
              <w:pStyle w:val="13"/>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0.70</w:t>
            </w:r>
          </w:p>
        </w:tc>
        <w:tc>
          <w:tcPr>
            <w:tcW w:w="2551" w:type="dxa"/>
            <w:vAlign w:val="center"/>
          </w:tcPr>
          <w:p>
            <w:pPr>
              <w:pStyle w:val="13"/>
            </w:pPr>
          </w:p>
        </w:tc>
        <w:tc>
          <w:tcPr>
            <w:tcW w:w="2551"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4.62</w:t>
            </w:r>
          </w:p>
        </w:tc>
        <w:tc>
          <w:tcPr>
            <w:tcW w:w="2551" w:type="dxa"/>
            <w:vAlign w:val="center"/>
          </w:tcPr>
          <w:p>
            <w:pPr>
              <w:pStyle w:val="13"/>
            </w:pPr>
          </w:p>
        </w:tc>
        <w:tc>
          <w:tcPr>
            <w:tcW w:w="2551" w:type="dxa"/>
            <w:vAlign w:val="center"/>
          </w:tcPr>
          <w:p>
            <w:pPr>
              <w:pStyle w:val="13"/>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r>
        <w:rPr>
          <w:rFonts w:ascii="方正书宋_GBK" w:hAnsi="方正书宋_GBK" w:eastAsia="方正书宋_GBK" w:cs="方正书宋_GBK"/>
          <w:color w:val="FFFFFF"/>
          <w:sz w:val="21"/>
        </w:rPr>
        <w:t>第一部分  中共隆尧县</w:t>
      </w:r>
      <w:r>
        <w:rPr>
          <w:rFonts w:ascii="方正小标宋_GBK" w:hAnsi="方正小标宋_GBK" w:eastAsia="方正小标宋_GBK" w:cs="方正小标宋_GBK"/>
          <w:color w:val="000000"/>
          <w:sz w:val="36"/>
        </w:rPr>
        <w:t>部门预算财政拨款“三公”经费支出表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0.00</w:t>
            </w:r>
          </w:p>
        </w:tc>
        <w:tc>
          <w:tcPr>
            <w:tcW w:w="2381" w:type="dxa"/>
            <w:vAlign w:val="center"/>
          </w:tcPr>
          <w:p>
            <w:pPr>
              <w:pStyle w:val="17"/>
              <w:rPr>
                <w:rFonts w:hint="default" w:eastAsia="方正书宋_GBK"/>
                <w:lang w:val="en-US" w:eastAsia="zh-CN"/>
              </w:rPr>
            </w:pPr>
            <w:r>
              <w:rPr>
                <w:rFonts w:hint="eastAsia"/>
                <w:lang w:val="en-US" w:eastAsia="zh-CN"/>
              </w:rPr>
              <w:t>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0.00</w:t>
            </w:r>
          </w:p>
        </w:tc>
        <w:tc>
          <w:tcPr>
            <w:tcW w:w="2381" w:type="dxa"/>
            <w:vAlign w:val="center"/>
          </w:tcPr>
          <w:p>
            <w:pPr>
              <w:pStyle w:val="13"/>
              <w:rPr>
                <w:rFonts w:hint="default" w:eastAsia="方正书宋_GBK"/>
                <w:lang w:val="en-US" w:eastAsia="zh-CN"/>
              </w:rPr>
            </w:pPr>
            <w:r>
              <w:rPr>
                <w:rFonts w:hint="eastAsia"/>
                <w:lang w:val="en-US" w:eastAsia="zh-CN"/>
              </w:rPr>
              <w:t>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rPr>
                <w:rFonts w:hint="eastAsia" w:eastAsia="方正书宋_GBK"/>
                <w:lang w:eastAsia="zh-CN"/>
              </w:rPr>
            </w:pPr>
          </w:p>
        </w:tc>
        <w:tc>
          <w:tcPr>
            <w:tcW w:w="2381" w:type="dxa"/>
            <w:vAlign w:val="center"/>
          </w:tcPr>
          <w:p>
            <w:pPr>
              <w:pStyle w:val="13"/>
              <w:rPr>
                <w:rFonts w:hint="eastAsia" w:eastAsia="方正书宋_GBK"/>
                <w:lang w:eastAsia="zh-CN"/>
              </w:rPr>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隆尧县科学技术协会委网络安全和信息化委员会办公室2022年部门预算信息公开情况说明</w:t>
      </w:r>
    </w:p>
    <w:p>
      <w:pPr>
        <w:jc w:val="center"/>
      </w:pPr>
      <w:r>
        <w:rPr>
          <w:rFonts w:ascii="方正小标宋_GBK" w:hAnsi="方正小标宋_GBK" w:eastAsia="方正小标宋_GBK" w:cs="方正小标宋_GBK"/>
          <w:color w:val="000000"/>
          <w:sz w:val="44"/>
        </w:rPr>
        <w:t>中共隆尧县委网络安全和信息化委员会办公室2022年部门预算信息公开情况说明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按照《预算法》、《地方预决算公开操作规程》和《关于进一步推进预算公开工作的实施意见》规定，现将中共隆尧县委网络安全和信息化委员会办公室2022年部门预算公开如下：</w:t>
      </w:r>
    </w:p>
    <w:p>
      <w:pPr>
        <w:spacing w:before="10" w:after="10" w:line="360" w:lineRule="auto"/>
        <w:ind w:firstLine="640"/>
        <w:outlineLvl w:val="2"/>
      </w:pPr>
      <w:bookmarkStart w:id="8" w:name="_Toc_3_3_0000000010"/>
      <w:r>
        <w:rPr>
          <w:rFonts w:ascii="黑体" w:hAnsi="黑体" w:eastAsia="黑体" w:cs="黑体"/>
          <w:color w:val="000000"/>
          <w:sz w:val="32"/>
        </w:rPr>
        <w:t>一、部门职责及机构设置情况</w:t>
      </w:r>
      <w:bookmarkEnd w:id="8"/>
    </w:p>
    <w:p>
      <w:pPr>
        <w:ind w:firstLine="640"/>
      </w:pPr>
      <w:r>
        <w:rPr>
          <w:rFonts w:ascii="方正楷体_GBK" w:hAnsi="方正楷体_GBK" w:eastAsia="方正楷体_GBK" w:cs="方正楷体_GBK"/>
          <w:b/>
          <w:color w:val="000000"/>
          <w:sz w:val="32"/>
        </w:rPr>
        <w:t>部门职责：</w:t>
      </w:r>
    </w:p>
    <w:p>
      <w:pPr>
        <w:pStyle w:val="19"/>
      </w:pPr>
      <w: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 xml:space="preserve">中共隆尧县委网络安全和信息化委员会办公室本级 </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9" w:name="_Toc_3_3_0000000011"/>
      <w:r>
        <w:rPr>
          <w:rFonts w:ascii="黑体" w:hAnsi="黑体" w:eastAsia="黑体" w:cs="黑体"/>
          <w:color w:val="000000"/>
          <w:sz w:val="32"/>
        </w:rPr>
        <w:t>二、部门预算安排的总体情况</w:t>
      </w:r>
      <w:bookmarkEnd w:id="9"/>
    </w:p>
    <w:p>
      <w:pPr>
        <w:spacing w:line="500" w:lineRule="exact"/>
        <w:ind w:firstLine="560"/>
      </w:pPr>
      <w:r>
        <w:rPr>
          <w:rFonts w:eastAsia="方正仿宋_GBK"/>
          <w:color w:val="000000"/>
          <w:sz w:val="28"/>
        </w:rPr>
        <w:t>按照预算管理有关规定，目前我省部门预算的编制实行综合预算管理，即全部收入和支出都反映在预算中。中共隆尧县委网络安全和信息化委员会办公室机关及所属事业单位的收支包含在部门预算中。</w:t>
      </w:r>
    </w:p>
    <w:p>
      <w:pPr>
        <w:pStyle w:val="20"/>
      </w:pPr>
      <w:r>
        <w:t>部门预算安排的总体情况</w:t>
      </w:r>
    </w:p>
    <w:p>
      <w:pPr>
        <w:pStyle w:val="20"/>
      </w:pPr>
      <w:r>
        <w:t>按照预算管理有关规定，目前我办部门预算的编制实行综合预算管理，即全部收入和支出都反映的预算中。中共隆尧县委网络安全和信息化委员会办公室的收支包含在部门预算中。</w:t>
      </w:r>
    </w:p>
    <w:p>
      <w:pPr>
        <w:pStyle w:val="20"/>
      </w:pPr>
      <w:r>
        <w:t>1、收入说明</w:t>
      </w:r>
    </w:p>
    <w:p>
      <w:pPr>
        <w:pStyle w:val="20"/>
      </w:pPr>
      <w:r>
        <w:t>反映本部门当年全部收入。2022年预算收入103</w:t>
      </w:r>
      <w:r>
        <w:rPr>
          <w:rFonts w:hint="eastAsia"/>
          <w:lang w:val="en-US" w:eastAsia="zh-CN"/>
        </w:rPr>
        <w:t>.</w:t>
      </w:r>
      <w:r>
        <w:t>7318</w:t>
      </w:r>
      <w:r>
        <w:rPr>
          <w:rFonts w:hint="eastAsia"/>
          <w:lang w:eastAsia="zh-CN"/>
        </w:rPr>
        <w:t>万</w:t>
      </w:r>
      <w:r>
        <w:t>元，其中：一般公共预算收入103</w:t>
      </w:r>
      <w:r>
        <w:rPr>
          <w:rFonts w:hint="eastAsia"/>
          <w:lang w:val="en-US" w:eastAsia="zh-CN"/>
        </w:rPr>
        <w:t>.</w:t>
      </w:r>
      <w:r>
        <w:t>7318</w:t>
      </w:r>
      <w:r>
        <w:rPr>
          <w:rFonts w:hint="eastAsia"/>
          <w:lang w:eastAsia="zh-CN"/>
        </w:rPr>
        <w:t>万</w:t>
      </w:r>
      <w:r>
        <w:t>元，基金预算收入0</w:t>
      </w:r>
      <w:r>
        <w:rPr>
          <w:rFonts w:hint="eastAsia"/>
          <w:lang w:eastAsia="zh-CN"/>
        </w:rPr>
        <w:t>万</w:t>
      </w:r>
      <w:r>
        <w:t>元，财政专户核拨收入0</w:t>
      </w:r>
      <w:r>
        <w:rPr>
          <w:rFonts w:hint="eastAsia"/>
          <w:lang w:eastAsia="zh-CN"/>
        </w:rPr>
        <w:t>万</w:t>
      </w:r>
      <w:r>
        <w:t>元，其他来源收入（单位资金）0</w:t>
      </w:r>
      <w:r>
        <w:rPr>
          <w:rFonts w:hint="eastAsia"/>
          <w:lang w:eastAsia="zh-CN"/>
        </w:rPr>
        <w:t>万</w:t>
      </w:r>
      <w:r>
        <w:t>元，上年结转0</w:t>
      </w:r>
      <w:r>
        <w:rPr>
          <w:rFonts w:hint="eastAsia"/>
          <w:lang w:eastAsia="zh-CN"/>
        </w:rPr>
        <w:t>万</w:t>
      </w:r>
      <w:r>
        <w:t>元。</w:t>
      </w:r>
    </w:p>
    <w:p>
      <w:pPr>
        <w:pStyle w:val="20"/>
      </w:pPr>
      <w:r>
        <w:t>2、支出说明</w:t>
      </w:r>
    </w:p>
    <w:p>
      <w:pPr>
        <w:pStyle w:val="20"/>
      </w:pPr>
      <w:r>
        <w:t>收支预算总表支出栏、基本支出表、项目支出表按经济分类和支出功能分类科目编制，反映中共隆尧县委网络安全和信息化委员会办公室年度部门预算中支出预算的总体情况。2022年支出预算103</w:t>
      </w:r>
      <w:r>
        <w:rPr>
          <w:rFonts w:hint="eastAsia"/>
          <w:lang w:val="en-US" w:eastAsia="zh-CN"/>
        </w:rPr>
        <w:t>.</w:t>
      </w:r>
      <w:r>
        <w:t>7318</w:t>
      </w:r>
      <w:r>
        <w:rPr>
          <w:rFonts w:hint="eastAsia"/>
          <w:lang w:eastAsia="zh-CN"/>
        </w:rPr>
        <w:t>万</w:t>
      </w:r>
      <w:r>
        <w:t>元，其中基本支出73</w:t>
      </w:r>
      <w:r>
        <w:rPr>
          <w:rFonts w:hint="eastAsia"/>
          <w:lang w:val="en-US" w:eastAsia="zh-CN"/>
        </w:rPr>
        <w:t>.</w:t>
      </w:r>
      <w:r>
        <w:t>7318</w:t>
      </w:r>
      <w:r>
        <w:rPr>
          <w:rFonts w:hint="eastAsia"/>
          <w:lang w:eastAsia="zh-CN"/>
        </w:rPr>
        <w:t>万</w:t>
      </w:r>
      <w:r>
        <w:t>元，包括人员经费69</w:t>
      </w:r>
      <w:r>
        <w:rPr>
          <w:rFonts w:hint="eastAsia"/>
          <w:lang w:val="en-US" w:eastAsia="zh-CN"/>
        </w:rPr>
        <w:t>.</w:t>
      </w:r>
      <w:r>
        <w:t>2318</w:t>
      </w:r>
      <w:r>
        <w:rPr>
          <w:rFonts w:hint="eastAsia"/>
          <w:lang w:eastAsia="zh-CN"/>
        </w:rPr>
        <w:t>万</w:t>
      </w:r>
      <w:r>
        <w:t>元和日常公用经费4</w:t>
      </w:r>
      <w:r>
        <w:rPr>
          <w:rFonts w:hint="eastAsia"/>
          <w:lang w:val="en-US" w:eastAsia="zh-CN"/>
        </w:rPr>
        <w:t>.</w:t>
      </w:r>
      <w:r>
        <w:t>5000</w:t>
      </w:r>
      <w:r>
        <w:rPr>
          <w:rFonts w:hint="eastAsia"/>
          <w:lang w:eastAsia="zh-CN"/>
        </w:rPr>
        <w:t>万</w:t>
      </w:r>
      <w:r>
        <w:t>元；项目支出30</w:t>
      </w:r>
      <w:r>
        <w:rPr>
          <w:rFonts w:hint="eastAsia"/>
          <w:lang w:val="en-US" w:eastAsia="zh-CN"/>
        </w:rPr>
        <w:t>.</w:t>
      </w:r>
      <w:r>
        <w:t>0000</w:t>
      </w:r>
      <w:r>
        <w:rPr>
          <w:rFonts w:hint="eastAsia"/>
          <w:lang w:eastAsia="zh-CN"/>
        </w:rPr>
        <w:t>万</w:t>
      </w:r>
      <w:r>
        <w:t>元主要为专项业务项目支出。</w:t>
      </w:r>
    </w:p>
    <w:p>
      <w:pPr>
        <w:pStyle w:val="20"/>
      </w:pPr>
      <w:r>
        <w:t>3、比上年增减情况</w:t>
      </w:r>
    </w:p>
    <w:p>
      <w:pPr>
        <w:pStyle w:val="20"/>
      </w:pPr>
      <w:r>
        <w:t>2022年预算收支安排103</w:t>
      </w:r>
      <w:r>
        <w:rPr>
          <w:rFonts w:hint="eastAsia"/>
          <w:lang w:val="en-US" w:eastAsia="zh-CN"/>
        </w:rPr>
        <w:t>.</w:t>
      </w:r>
      <w:r>
        <w:t>7318</w:t>
      </w:r>
      <w:r>
        <w:rPr>
          <w:rFonts w:hint="eastAsia"/>
          <w:lang w:eastAsia="zh-CN"/>
        </w:rPr>
        <w:t>万</w:t>
      </w:r>
      <w:r>
        <w:t>元，较2021年年初预算增加48</w:t>
      </w:r>
      <w:r>
        <w:rPr>
          <w:rFonts w:hint="eastAsia"/>
          <w:lang w:val="en-US" w:eastAsia="zh-CN"/>
        </w:rPr>
        <w:t>.</w:t>
      </w:r>
      <w:r>
        <w:t>2852</w:t>
      </w:r>
      <w:r>
        <w:rPr>
          <w:rFonts w:hint="eastAsia"/>
          <w:lang w:eastAsia="zh-CN"/>
        </w:rPr>
        <w:t>万</w:t>
      </w:r>
      <w:r>
        <w:t>元，其中：主要增加费用为人员经费；我单位2022年在职人数为9人，比上年增加5人，主要为新招录四级联考人员2名，调入3名事业编人员。</w:t>
      </w:r>
    </w:p>
    <w:p>
      <w:pPr>
        <w:spacing w:before="10" w:after="10" w:line="360" w:lineRule="auto"/>
        <w:ind w:firstLine="640"/>
        <w:outlineLvl w:val="2"/>
      </w:pPr>
      <w:bookmarkStart w:id="10" w:name="_Toc_3_3_0000000012"/>
      <w:r>
        <w:rPr>
          <w:rFonts w:ascii="黑体" w:hAnsi="黑体" w:eastAsia="黑体" w:cs="黑体"/>
          <w:color w:val="000000"/>
          <w:sz w:val="32"/>
        </w:rPr>
        <w:t>三、机关运行经费安排情况</w:t>
      </w:r>
      <w:bookmarkEnd w:id="10"/>
    </w:p>
    <w:p>
      <w:pPr>
        <w:pStyle w:val="21"/>
      </w:pPr>
      <w:r>
        <w:t>机关运行经费安排情况</w:t>
      </w:r>
    </w:p>
    <w:p>
      <w:pPr>
        <w:pStyle w:val="21"/>
      </w:pPr>
      <w:r>
        <w:t>2022年，我办机关运行经费共计安排4</w:t>
      </w:r>
      <w:r>
        <w:rPr>
          <w:rFonts w:hint="eastAsia"/>
          <w:lang w:val="en-US" w:eastAsia="zh-CN"/>
        </w:rPr>
        <w:t>.</w:t>
      </w:r>
      <w:r>
        <w:t>5000</w:t>
      </w:r>
      <w:r>
        <w:rPr>
          <w:rFonts w:hint="eastAsia"/>
          <w:lang w:eastAsia="zh-CN"/>
        </w:rPr>
        <w:t>万</w:t>
      </w:r>
      <w:r>
        <w:t>元，主要用于保证机关正常运转的办公及印刷费、邮电费、差旅费、党组织活动、工会费、福利费等支出。</w:t>
      </w:r>
    </w:p>
    <w:p>
      <w:pPr>
        <w:pStyle w:val="21"/>
      </w:pPr>
    </w:p>
    <w:p>
      <w:pPr>
        <w:spacing w:before="10" w:after="10" w:line="360" w:lineRule="auto"/>
        <w:ind w:firstLine="640"/>
        <w:outlineLvl w:val="2"/>
      </w:pPr>
      <w:bookmarkStart w:id="11" w:name="_Toc_3_3_0000000013"/>
      <w:r>
        <w:rPr>
          <w:rFonts w:ascii="黑体" w:hAnsi="黑体" w:eastAsia="黑体" w:cs="黑体"/>
          <w:color w:val="000000"/>
          <w:sz w:val="32"/>
        </w:rPr>
        <w:t>四、财政拨款“三公”经费预算情况及增减变化原因</w:t>
      </w:r>
      <w:bookmarkEnd w:id="11"/>
    </w:p>
    <w:p>
      <w:pPr>
        <w:pStyle w:val="22"/>
      </w:pPr>
      <w:r>
        <w:t>财政拨款“三公”经费预算情况及增减变化原因</w:t>
      </w:r>
    </w:p>
    <w:p>
      <w:pPr>
        <w:pStyle w:val="22"/>
      </w:pPr>
      <w:r>
        <w:t>2022年，我办部门财政拨款“三公”经费预算安排0</w:t>
      </w:r>
      <w:r>
        <w:rPr>
          <w:rFonts w:hint="eastAsia"/>
          <w:lang w:eastAsia="zh-CN"/>
        </w:rPr>
        <w:t>万</w:t>
      </w:r>
      <w:r>
        <w:t>元，其中：因公出国（境）费0</w:t>
      </w:r>
      <w:r>
        <w:rPr>
          <w:rFonts w:hint="eastAsia"/>
          <w:lang w:eastAsia="zh-CN"/>
        </w:rPr>
        <w:t>万</w:t>
      </w:r>
      <w:r>
        <w:t>元；公务用车购置及运维费0</w:t>
      </w:r>
      <w:r>
        <w:rPr>
          <w:rFonts w:hint="eastAsia"/>
          <w:lang w:eastAsia="zh-CN"/>
        </w:rPr>
        <w:t>万</w:t>
      </w:r>
      <w:r>
        <w:t>元（其中：公务用车购置费0</w:t>
      </w:r>
      <w:r>
        <w:rPr>
          <w:rFonts w:hint="eastAsia"/>
          <w:lang w:eastAsia="zh-CN"/>
        </w:rPr>
        <w:t>万</w:t>
      </w:r>
      <w:r>
        <w:t>元，公务用车运行维护费0</w:t>
      </w:r>
      <w:r>
        <w:rPr>
          <w:rFonts w:hint="eastAsia"/>
          <w:lang w:eastAsia="zh-CN"/>
        </w:rPr>
        <w:t>万</w:t>
      </w:r>
      <w:r>
        <w:t>元)；公务接待费0</w:t>
      </w:r>
      <w:r>
        <w:rPr>
          <w:rFonts w:hint="eastAsia"/>
          <w:lang w:eastAsia="zh-CN"/>
        </w:rPr>
        <w:t>万</w:t>
      </w:r>
      <w:r>
        <w:t>元。较上年相比无变化。主要是为无相关三公经费。</w:t>
      </w:r>
    </w:p>
    <w:p>
      <w:pPr>
        <w:spacing w:before="10" w:after="10" w:line="360" w:lineRule="auto"/>
        <w:ind w:firstLine="640"/>
        <w:outlineLvl w:val="2"/>
      </w:pPr>
      <w:bookmarkStart w:id="12" w:name="_Toc_3_3_0000000014"/>
      <w:r>
        <w:rPr>
          <w:rFonts w:ascii="黑体" w:hAnsi="黑体" w:eastAsia="黑体" w:cs="黑体"/>
          <w:color w:val="000000"/>
          <w:sz w:val="32"/>
        </w:rPr>
        <w:t>五、预算绩效信息</w:t>
      </w:r>
      <w:bookmarkEnd w:id="12"/>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一、总体绩效目标</w:t>
      </w:r>
    </w:p>
    <w:p>
      <w:pPr>
        <w:pStyle w:val="23"/>
      </w:pPr>
      <w:r>
        <w:t>以习近平新时代中国特色社会主义思想为指导，贯彻落实习近平总书记关于网络强国的重要思想，牢牢掌握网络意识形态工作领导权，积极传播网上正能量，提升全市网络舆情应对处置水平，进一步完善我县网络综合治理体系，维护网络安全，推动信息化发展，为建设经济强县、美丽隆尧提供强大网上舆论支持、可靠网络安全保障、有力信息化支撑。</w:t>
      </w:r>
    </w:p>
    <w:p>
      <w:pPr>
        <w:spacing w:line="500" w:lineRule="exact"/>
        <w:ind w:firstLine="560"/>
      </w:pPr>
      <w:r>
        <w:rPr>
          <w:rFonts w:eastAsia="方正仿宋_GBK"/>
          <w:color w:val="000000"/>
          <w:sz w:val="28"/>
        </w:rPr>
        <w:t>（二）分项绩效目标</w:t>
      </w:r>
    </w:p>
    <w:p>
      <w:pPr>
        <w:pStyle w:val="24"/>
      </w:pPr>
      <w:r>
        <w:t>二、分项绩效目标</w:t>
      </w:r>
    </w:p>
    <w:p>
      <w:pPr>
        <w:pStyle w:val="24"/>
      </w:pPr>
      <w:r>
        <w:t>（一）网络舆情应对处置水平明显改善</w:t>
      </w:r>
    </w:p>
    <w:p>
      <w:pPr>
        <w:pStyle w:val="24"/>
      </w:pPr>
      <w:r>
        <w:t>绩效目标：牢牢把握舆论正确导向，为全县经济社会等发展提供强有力的舆论支持，舆情信息的收集、分析、研判能力得到大幅提升，及时化解、妥善处理社会敏感问题和突发事件等有关负面舆情的处置率显著增强,网络舆论引导工作队伍的规模进一步扩大，全县网络舆情应对处置水平整体得到明显改善。</w:t>
      </w:r>
    </w:p>
    <w:p>
      <w:pPr>
        <w:pStyle w:val="24"/>
      </w:pPr>
      <w:r>
        <w:t>绩效指标：通过舆情信息系统和人工巡查监测，舆情处置率实现90%以上。</w:t>
      </w:r>
    </w:p>
    <w:p>
      <w:pPr>
        <w:pStyle w:val="24"/>
      </w:pPr>
      <w:r>
        <w:t>（二）及时监测政务类网络系统安全漏洞，</w:t>
      </w:r>
    </w:p>
    <w:p>
      <w:pPr>
        <w:pStyle w:val="24"/>
      </w:pPr>
      <w:r>
        <w:t>绩效目标：确保政务类网络系统的安全,保障本县域内网络安全工作正常运行，提高各部门的网络安全意识和透明度，降低网络安全事件发生率。</w:t>
      </w:r>
    </w:p>
    <w:p>
      <w:pPr>
        <w:pStyle w:val="24"/>
      </w:pPr>
      <w:r>
        <w:t>绩效指标：通过与相关单位合作，保证网站巡查率在90%以上。</w:t>
      </w:r>
    </w:p>
    <w:p>
      <w:pPr>
        <w:spacing w:line="500" w:lineRule="exact"/>
        <w:ind w:firstLine="560"/>
      </w:pPr>
      <w:r>
        <w:rPr>
          <w:rFonts w:eastAsia="方正仿宋_GBK"/>
          <w:color w:val="000000"/>
          <w:sz w:val="28"/>
        </w:rPr>
        <w:t>（三）工作保障措施</w:t>
      </w:r>
    </w:p>
    <w:p>
      <w:pPr>
        <w:pStyle w:val="25"/>
      </w:pPr>
      <w:r>
        <w:t>（一）完善制度建设。将事前评估、目标管理、运行监控、绩效评价及结果应用等各项改革措施，有效融入预算编制、执行、监督的全过程，建立健全网络安全和信息化领域预算绩效管理的路径和制度体系，建立统筹协调、分工协作、密切配合、合力推进的工作机制。围绕网信部门职责和事业发展规划，细化工作方案，明确责任主体、实施进度要求，以预算资金为主线，从产出数量、运行成本、管理效率、履职效能、社会效应、可持续发展能力和服务对象满意度等方面，衡量部门整体及核心业务实施效果，推动提高部门整体绩效水平。</w:t>
      </w:r>
    </w:p>
    <w:p>
      <w:pPr>
        <w:pStyle w:val="25"/>
      </w:pPr>
      <w:r>
        <w:t>（二）加强支出管理和绩效监控。按照“谁花钱、谁负责，谁牵总、谁主责”的原则，调整优化支出结构，编细编实预算，严格履行政府采购手续，创新财政资金支出思路，合理改进支出方式，按进度和规定及时完成相关项目工作并下达资金，确保按照时间节点完成支出任务。</w:t>
      </w:r>
    </w:p>
    <w:p>
      <w:pPr>
        <w:pStyle w:val="25"/>
      </w:pPr>
      <w:r>
        <w:t>（三）做好绩效自评。由相关科室负责科学制定分管项目和内容的中期、终期绩效目标和评价指标，动态收集评估数据信息，开展预算绩效中期评估、终期评价。评价过程要最大程度信息公开，运用法律、经济和行政手段规范、管理和保障预算绩效工作的有效推进，做到程序规范、方法合理、结果可信。对评价中发现的问题及时整改，调整优化支出结构，提高财政资金使用效益。</w:t>
      </w:r>
    </w:p>
    <w:p>
      <w:pPr>
        <w:pStyle w:val="25"/>
      </w:pPr>
      <w:r>
        <w:t>（四）规范财务资产管理，加强内部监督。规范财政资金使用和管理,强化内部控制制度建设，严格做好固定资产的登记、使用和报废处置管理工作。做到支出合理，物尽其用，最大限度地发挥财政资金的使用效益。加强内部监督制度建设，对绩效运行情况、重大支出决策、资产处置及其他重要经济业务事项的决策和执行进行督导，对会计资料进行内部审计，考配合做好审计、财政监督等外部监督工作，确保财政资金安全有效。</w:t>
      </w:r>
    </w:p>
    <w:p>
      <w:pPr>
        <w:ind w:firstLine="640"/>
      </w:pPr>
      <w:r>
        <w:rPr>
          <w:rFonts w:ascii="方正楷体_GBK" w:hAnsi="方正楷体_GBK" w:eastAsia="方正楷体_GBK" w:cs="方正楷体_GBK"/>
          <w:b/>
          <w:color w:val="000000"/>
          <w:sz w:val="32"/>
        </w:rPr>
        <w:t>第二部分  专项资金绩效目标</w:t>
      </w:r>
    </w:p>
    <w:p>
      <w:pPr>
        <w:pStyle w:val="26"/>
        <w:ind w:firstLine="640"/>
      </w:pPr>
      <w:r>
        <w:rPr>
          <w:rFonts w:ascii="方正楷体_GBK" w:hAnsi="方正楷体_GBK" w:eastAsia="方正楷体_GBK" w:cs="方正楷体_GBK"/>
          <w:b/>
          <w:color w:val="000000"/>
          <w:sz w:val="32"/>
        </w:rPr>
        <w:t>第三部分  预算项目绩效目标</w:t>
      </w:r>
    </w:p>
    <w:p>
      <w:pPr>
        <w:pStyle w:val="26"/>
        <w:ind w:firstLine="560"/>
      </w:pPr>
      <w:r>
        <w:rPr>
          <w:rFonts w:ascii="方正仿宋_GBK" w:hAnsi="方正仿宋_GBK" w:eastAsia="方正仿宋_GBK" w:cs="方正仿宋_GBK"/>
          <w:b/>
          <w:color w:val="000000"/>
          <w:sz w:val="28"/>
        </w:rPr>
        <w:t>1、网络安全和信息化工作经费绩效目标表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1.全县网站摸排和网络安全检测</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全县网站摸排率</w:t>
            </w:r>
          </w:p>
        </w:tc>
        <w:tc>
          <w:tcPr>
            <w:tcW w:w="2835" w:type="dxa"/>
            <w:vAlign w:val="center"/>
          </w:tcPr>
          <w:p>
            <w:pPr>
              <w:pStyle w:val="28"/>
            </w:pPr>
            <w:r>
              <w:t>全县网站摸排率</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网站安全率</w:t>
            </w:r>
          </w:p>
        </w:tc>
        <w:tc>
          <w:tcPr>
            <w:tcW w:w="2835" w:type="dxa"/>
            <w:vAlign w:val="center"/>
          </w:tcPr>
          <w:p>
            <w:pPr>
              <w:pStyle w:val="28"/>
            </w:pPr>
            <w:r>
              <w:t>网站安全率</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网站安全及时处置率</w:t>
            </w:r>
          </w:p>
        </w:tc>
        <w:tc>
          <w:tcPr>
            <w:tcW w:w="2835" w:type="dxa"/>
            <w:vAlign w:val="center"/>
          </w:tcPr>
          <w:p>
            <w:pPr>
              <w:pStyle w:val="28"/>
            </w:pPr>
            <w:r>
              <w:t>网站安全及时处置率</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网站安全监测合作成本</w:t>
            </w:r>
          </w:p>
        </w:tc>
        <w:tc>
          <w:tcPr>
            <w:tcW w:w="2835" w:type="dxa"/>
            <w:vAlign w:val="center"/>
          </w:tcPr>
          <w:p>
            <w:pPr>
              <w:pStyle w:val="28"/>
            </w:pPr>
            <w:r>
              <w:t>网站安全监测合作成本</w:t>
            </w:r>
          </w:p>
        </w:tc>
        <w:tc>
          <w:tcPr>
            <w:tcW w:w="2551" w:type="dxa"/>
            <w:vAlign w:val="center"/>
          </w:tcPr>
          <w:p>
            <w:pPr>
              <w:pStyle w:val="28"/>
            </w:pPr>
            <w:r>
              <w:t>≤15万</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属地重点网站安全</w:t>
            </w:r>
          </w:p>
        </w:tc>
        <w:tc>
          <w:tcPr>
            <w:tcW w:w="2835" w:type="dxa"/>
            <w:vAlign w:val="center"/>
          </w:tcPr>
          <w:p>
            <w:pPr>
              <w:pStyle w:val="28"/>
            </w:pPr>
            <w:r>
              <w:t>属地重点网站安全</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≥100百分数</w:t>
            </w:r>
          </w:p>
        </w:tc>
        <w:tc>
          <w:tcPr>
            <w:tcW w:w="2268" w:type="dxa"/>
            <w:vAlign w:val="center"/>
          </w:tcPr>
          <w:p>
            <w:pPr>
              <w:pStyle w:val="28"/>
            </w:pPr>
            <w:r>
              <w:t>部门职责</w:t>
            </w:r>
          </w:p>
        </w:tc>
      </w:tr>
    </w:tbl>
    <w:p>
      <w:pPr>
        <w:pStyle w:val="26"/>
      </w:pPr>
    </w:p>
    <w:p>
      <w:pPr>
        <w:pStyle w:val="26"/>
        <w:ind w:firstLine="560"/>
      </w:pPr>
      <w:r>
        <w:rPr>
          <w:rFonts w:ascii="方正仿宋_GBK" w:hAnsi="方正仿宋_GBK" w:eastAsia="方正仿宋_GBK" w:cs="方正仿宋_GBK"/>
          <w:b/>
          <w:color w:val="000000"/>
          <w:sz w:val="28"/>
        </w:rPr>
        <w:t>2、舆情处置工作经费绩效目标表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1.及时处置网络舆情突发事件</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舆情产品刊发期数</w:t>
            </w:r>
          </w:p>
        </w:tc>
        <w:tc>
          <w:tcPr>
            <w:tcW w:w="2835" w:type="dxa"/>
            <w:vAlign w:val="center"/>
          </w:tcPr>
          <w:p>
            <w:pPr>
              <w:pStyle w:val="28"/>
            </w:pPr>
            <w:r>
              <w:t>舆情产品刊发期数</w:t>
            </w:r>
          </w:p>
        </w:tc>
        <w:tc>
          <w:tcPr>
            <w:tcW w:w="2551" w:type="dxa"/>
            <w:vAlign w:val="center"/>
          </w:tcPr>
          <w:p>
            <w:pPr>
              <w:pStyle w:val="28"/>
            </w:pPr>
            <w:r>
              <w:t>≥50期</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舆情高效处置</w:t>
            </w:r>
          </w:p>
        </w:tc>
        <w:tc>
          <w:tcPr>
            <w:tcW w:w="2835" w:type="dxa"/>
            <w:vAlign w:val="center"/>
          </w:tcPr>
          <w:p>
            <w:pPr>
              <w:pStyle w:val="28"/>
            </w:pPr>
            <w:r>
              <w:t>舆情高效处置</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舆情事件处置率</w:t>
            </w:r>
          </w:p>
        </w:tc>
        <w:tc>
          <w:tcPr>
            <w:tcW w:w="2835" w:type="dxa"/>
            <w:vAlign w:val="center"/>
          </w:tcPr>
          <w:p>
            <w:pPr>
              <w:pStyle w:val="28"/>
            </w:pPr>
            <w:r>
              <w:t>舆情事件处置率</w:t>
            </w:r>
          </w:p>
        </w:tc>
        <w:tc>
          <w:tcPr>
            <w:tcW w:w="2551" w:type="dxa"/>
            <w:vAlign w:val="center"/>
          </w:tcPr>
          <w:p>
            <w:pPr>
              <w:pStyle w:val="28"/>
            </w:pPr>
            <w:r>
              <w:t>≥90百分数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舆情产品成本</w:t>
            </w:r>
          </w:p>
        </w:tc>
        <w:tc>
          <w:tcPr>
            <w:tcW w:w="2835" w:type="dxa"/>
            <w:vAlign w:val="center"/>
          </w:tcPr>
          <w:p>
            <w:pPr>
              <w:pStyle w:val="28"/>
            </w:pPr>
            <w:r>
              <w:t>每期舆情产品成本</w:t>
            </w:r>
          </w:p>
        </w:tc>
        <w:tc>
          <w:tcPr>
            <w:tcW w:w="2551" w:type="dxa"/>
            <w:vAlign w:val="center"/>
          </w:tcPr>
          <w:p>
            <w:pPr>
              <w:pStyle w:val="28"/>
            </w:pPr>
            <w:r>
              <w:t>≤100元</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接受舆情数量</w:t>
            </w:r>
          </w:p>
        </w:tc>
        <w:tc>
          <w:tcPr>
            <w:tcW w:w="2835" w:type="dxa"/>
            <w:vAlign w:val="center"/>
          </w:tcPr>
          <w:p>
            <w:pPr>
              <w:pStyle w:val="28"/>
            </w:pPr>
            <w:r>
              <w:t>接受舆情数量</w:t>
            </w:r>
          </w:p>
        </w:tc>
        <w:tc>
          <w:tcPr>
            <w:tcW w:w="2551" w:type="dxa"/>
            <w:vAlign w:val="center"/>
          </w:tcPr>
          <w:p>
            <w:pPr>
              <w:pStyle w:val="28"/>
            </w:pPr>
            <w:r>
              <w:t>≥100百分数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≥100百分数</w:t>
            </w:r>
          </w:p>
        </w:tc>
        <w:tc>
          <w:tcPr>
            <w:tcW w:w="2268" w:type="dxa"/>
            <w:vAlign w:val="center"/>
          </w:tcPr>
          <w:p>
            <w:pPr>
              <w:pStyle w:val="28"/>
            </w:pPr>
            <w:r>
              <w:t>部门职责</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2"/>
      </w:pPr>
      <w:bookmarkStart w:id="13" w:name="_Toc_3_3_0000000015"/>
      <w:r>
        <w:rPr>
          <w:rFonts w:ascii="黑体" w:hAnsi="黑体" w:eastAsia="黑体" w:cs="黑体"/>
          <w:color w:val="000000"/>
          <w:sz w:val="32"/>
        </w:rPr>
        <w:t>六、政府采购预算情况</w:t>
      </w:r>
      <w:bookmarkEnd w:id="13"/>
    </w:p>
    <w:p>
      <w:pPr>
        <w:spacing w:line="500" w:lineRule="exact"/>
        <w:ind w:firstLine="560"/>
      </w:pPr>
      <w:r>
        <w:rPr>
          <w:rFonts w:eastAsia="方正仿宋_GBK"/>
          <w:color w:val="000000"/>
          <w:sz w:val="28"/>
        </w:rPr>
        <w:t>2022年，中共隆尧县委网络安全和信息化委员会办公室安排政府采购预算6.00万元。具体内容见下表。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w:t>
            </w:r>
          </w:p>
        </w:tc>
        <w:tc>
          <w:tcPr>
            <w:tcW w:w="964" w:type="dxa"/>
            <w:vAlign w:val="center"/>
          </w:tcPr>
          <w:p>
            <w:pPr>
              <w:pStyle w:val="17"/>
            </w:pPr>
            <w:r>
              <w:t>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中共隆尧县委网络安全和信息化委员会办公室本级 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w:t>
            </w:r>
          </w:p>
        </w:tc>
        <w:tc>
          <w:tcPr>
            <w:tcW w:w="964" w:type="dxa"/>
            <w:vAlign w:val="center"/>
          </w:tcPr>
          <w:p>
            <w:pPr>
              <w:pStyle w:val="17"/>
            </w:pPr>
            <w:r>
              <w:t>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喷墨打印机</w:t>
            </w:r>
          </w:p>
        </w:tc>
        <w:tc>
          <w:tcPr>
            <w:tcW w:w="1134" w:type="dxa"/>
            <w:vAlign w:val="center"/>
          </w:tcPr>
          <w:p>
            <w:pPr>
              <w:pStyle w:val="14"/>
            </w:pPr>
            <w:r>
              <w:t>A0201060101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空调机</w:t>
            </w:r>
          </w:p>
        </w:tc>
        <w:tc>
          <w:tcPr>
            <w:tcW w:w="1134" w:type="dxa"/>
            <w:vAlign w:val="center"/>
          </w:tcPr>
          <w:p>
            <w:pPr>
              <w:pStyle w:val="14"/>
            </w:pPr>
            <w:r>
              <w:t>A0206180203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木制床类</w:t>
            </w:r>
          </w:p>
        </w:tc>
        <w:tc>
          <w:tcPr>
            <w:tcW w:w="1134" w:type="dxa"/>
            <w:vAlign w:val="center"/>
          </w:tcPr>
          <w:p>
            <w:pPr>
              <w:pStyle w:val="14"/>
            </w:pPr>
            <w:r>
              <w:t>A060104</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0.05</w:t>
            </w:r>
          </w:p>
        </w:tc>
        <w:tc>
          <w:tcPr>
            <w:tcW w:w="964" w:type="dxa"/>
            <w:vAlign w:val="center"/>
          </w:tcPr>
          <w:p>
            <w:pPr>
              <w:pStyle w:val="13"/>
            </w:pPr>
            <w:r>
              <w:t>0.05</w:t>
            </w:r>
          </w:p>
        </w:tc>
        <w:tc>
          <w:tcPr>
            <w:tcW w:w="964" w:type="dxa"/>
            <w:vAlign w:val="center"/>
          </w:tcPr>
          <w:p>
            <w:pPr>
              <w:pStyle w:val="13"/>
            </w:pPr>
            <w:r>
              <w:t>0.05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5</w:t>
            </w:r>
          </w:p>
        </w:tc>
        <w:tc>
          <w:tcPr>
            <w:tcW w:w="850" w:type="dxa"/>
            <w:vAlign w:val="center"/>
          </w:tcPr>
          <w:p>
            <w:pPr>
              <w:pStyle w:val="13"/>
            </w:pPr>
            <w:r>
              <w:t>0.05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0.03</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2</w:t>
            </w:r>
          </w:p>
        </w:tc>
        <w:tc>
          <w:tcPr>
            <w:tcW w:w="850" w:type="dxa"/>
            <w:vAlign w:val="center"/>
          </w:tcPr>
          <w:p>
            <w:pPr>
              <w:pStyle w:val="13"/>
            </w:pPr>
            <w:r>
              <w:t>0.04</w:t>
            </w:r>
          </w:p>
        </w:tc>
        <w:tc>
          <w:tcPr>
            <w:tcW w:w="964" w:type="dxa"/>
            <w:vAlign w:val="center"/>
          </w:tcPr>
          <w:p>
            <w:pPr>
              <w:pStyle w:val="13"/>
            </w:pPr>
            <w:r>
              <w:t>0.08</w:t>
            </w:r>
          </w:p>
        </w:tc>
        <w:tc>
          <w:tcPr>
            <w:tcW w:w="964" w:type="dxa"/>
            <w:vAlign w:val="center"/>
          </w:tcPr>
          <w:p>
            <w:pPr>
              <w:pStyle w:val="13"/>
            </w:pPr>
            <w:r>
              <w:t>0.08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金属骨架为主的椅凳类</w:t>
            </w:r>
          </w:p>
        </w:tc>
        <w:tc>
          <w:tcPr>
            <w:tcW w:w="1134" w:type="dxa"/>
            <w:vAlign w:val="center"/>
          </w:tcPr>
          <w:p>
            <w:pPr>
              <w:pStyle w:val="14"/>
            </w:pPr>
            <w:r>
              <w:t>A060301</w:t>
            </w:r>
          </w:p>
        </w:tc>
        <w:tc>
          <w:tcPr>
            <w:tcW w:w="709" w:type="dxa"/>
            <w:vAlign w:val="center"/>
          </w:tcPr>
          <w:p>
            <w:pPr>
              <w:pStyle w:val="15"/>
            </w:pPr>
            <w:r>
              <w:t>把</w:t>
            </w:r>
          </w:p>
        </w:tc>
        <w:tc>
          <w:tcPr>
            <w:tcW w:w="850" w:type="dxa"/>
            <w:vAlign w:val="center"/>
          </w:tcPr>
          <w:p>
            <w:pPr>
              <w:pStyle w:val="13"/>
            </w:pPr>
            <w:r>
              <w:t>5</w:t>
            </w:r>
          </w:p>
        </w:tc>
        <w:tc>
          <w:tcPr>
            <w:tcW w:w="850" w:type="dxa"/>
            <w:vAlign w:val="center"/>
          </w:tcPr>
          <w:p>
            <w:pPr>
              <w:pStyle w:val="13"/>
            </w:pPr>
            <w:r>
              <w:t>0.02</w:t>
            </w:r>
          </w:p>
        </w:tc>
        <w:tc>
          <w:tcPr>
            <w:tcW w:w="964" w:type="dxa"/>
            <w:vAlign w:val="center"/>
          </w:tcPr>
          <w:p>
            <w:pPr>
              <w:pStyle w:val="13"/>
            </w:pPr>
            <w:r>
              <w:t>0.09</w:t>
            </w:r>
          </w:p>
        </w:tc>
        <w:tc>
          <w:tcPr>
            <w:tcW w:w="964" w:type="dxa"/>
            <w:vAlign w:val="center"/>
          </w:tcPr>
          <w:p>
            <w:pPr>
              <w:pStyle w:val="13"/>
            </w:pPr>
            <w:r>
              <w:t>0.09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木骨架为主的椅凳类</w:t>
            </w:r>
          </w:p>
        </w:tc>
        <w:tc>
          <w:tcPr>
            <w:tcW w:w="1134" w:type="dxa"/>
            <w:vAlign w:val="center"/>
          </w:tcPr>
          <w:p>
            <w:pPr>
              <w:pStyle w:val="14"/>
            </w:pPr>
            <w:r>
              <w:t>A060302</w:t>
            </w:r>
          </w:p>
        </w:tc>
        <w:tc>
          <w:tcPr>
            <w:tcW w:w="709" w:type="dxa"/>
            <w:vAlign w:val="center"/>
          </w:tcPr>
          <w:p>
            <w:pPr>
              <w:pStyle w:val="15"/>
            </w:pPr>
            <w:r>
              <w:t>把</w:t>
            </w:r>
          </w:p>
        </w:tc>
        <w:tc>
          <w:tcPr>
            <w:tcW w:w="850" w:type="dxa"/>
            <w:vAlign w:val="center"/>
          </w:tcPr>
          <w:p>
            <w:pPr>
              <w:pStyle w:val="13"/>
            </w:pPr>
            <w:r>
              <w:t>12</w:t>
            </w:r>
          </w:p>
        </w:tc>
        <w:tc>
          <w:tcPr>
            <w:tcW w:w="850" w:type="dxa"/>
            <w:vAlign w:val="center"/>
          </w:tcPr>
          <w:p>
            <w:pPr>
              <w:pStyle w:val="13"/>
            </w:pPr>
            <w:r>
              <w:t>0.02</w:t>
            </w:r>
          </w:p>
        </w:tc>
        <w:tc>
          <w:tcPr>
            <w:tcW w:w="964" w:type="dxa"/>
            <w:vAlign w:val="center"/>
          </w:tcPr>
          <w:p>
            <w:pPr>
              <w:pStyle w:val="13"/>
            </w:pPr>
            <w:r>
              <w:t>0.18</w:t>
            </w:r>
          </w:p>
        </w:tc>
        <w:tc>
          <w:tcPr>
            <w:tcW w:w="964" w:type="dxa"/>
            <w:vAlign w:val="center"/>
          </w:tcPr>
          <w:p>
            <w:pPr>
              <w:pStyle w:val="13"/>
            </w:pPr>
            <w:r>
              <w:t>0.18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其他床上用具</w:t>
            </w:r>
          </w:p>
        </w:tc>
        <w:tc>
          <w:tcPr>
            <w:tcW w:w="1134" w:type="dxa"/>
            <w:vAlign w:val="center"/>
          </w:tcPr>
          <w:p>
            <w:pPr>
              <w:pStyle w:val="14"/>
            </w:pPr>
            <w:r>
              <w:t>A07030299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0.02</w:t>
            </w:r>
          </w:p>
        </w:tc>
        <w:tc>
          <w:tcPr>
            <w:tcW w:w="964" w:type="dxa"/>
            <w:vAlign w:val="center"/>
          </w:tcPr>
          <w:p>
            <w:pPr>
              <w:pStyle w:val="13"/>
            </w:pPr>
            <w:r>
              <w:t>0.02</w:t>
            </w:r>
          </w:p>
        </w:tc>
        <w:tc>
          <w:tcPr>
            <w:tcW w:w="964" w:type="dxa"/>
            <w:vAlign w:val="center"/>
          </w:tcPr>
          <w:p>
            <w:pPr>
              <w:pStyle w:val="13"/>
            </w:pPr>
            <w:r>
              <w:t>0.02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舆情处置工作经费</w:t>
            </w:r>
          </w:p>
        </w:tc>
        <w:tc>
          <w:tcPr>
            <w:tcW w:w="964" w:type="dxa"/>
            <w:vAlign w:val="center"/>
          </w:tcPr>
          <w:p>
            <w:pPr>
              <w:pStyle w:val="13"/>
            </w:pPr>
            <w:r>
              <w:t>15.00</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0.50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舆情处置工作经费</w:t>
            </w:r>
          </w:p>
        </w:tc>
        <w:tc>
          <w:tcPr>
            <w:tcW w:w="964" w:type="dxa"/>
            <w:vAlign w:val="center"/>
          </w:tcPr>
          <w:p>
            <w:pPr>
              <w:pStyle w:val="13"/>
            </w:pPr>
            <w:r>
              <w:t>15.00</w:t>
            </w:r>
          </w:p>
        </w:tc>
        <w:tc>
          <w:tcPr>
            <w:tcW w:w="1134" w:type="dxa"/>
            <w:vAlign w:val="center"/>
          </w:tcPr>
          <w:p>
            <w:pPr>
              <w:pStyle w:val="14"/>
            </w:pPr>
            <w:r>
              <w:t>激光打印机</w:t>
            </w:r>
          </w:p>
        </w:tc>
        <w:tc>
          <w:tcPr>
            <w:tcW w:w="1134" w:type="dxa"/>
            <w:vAlign w:val="center"/>
          </w:tcPr>
          <w:p>
            <w:pPr>
              <w:pStyle w:val="14"/>
            </w:pPr>
            <w:r>
              <w:t>A0201060102</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4" w:name="_Toc_3_3_0000000016"/>
      <w:r>
        <w:rPr>
          <w:rFonts w:ascii="黑体" w:hAnsi="黑体" w:eastAsia="黑体" w:cs="黑体"/>
          <w:color w:val="000000"/>
          <w:sz w:val="32"/>
        </w:rPr>
        <w:t>七、国有资产信息</w:t>
      </w:r>
      <w:bookmarkEnd w:id="14"/>
    </w:p>
    <w:p>
      <w:pPr>
        <w:spacing w:line="500" w:lineRule="exact"/>
        <w:ind w:firstLine="560"/>
      </w:pPr>
      <w:r>
        <w:rPr>
          <w:rFonts w:eastAsia="方正仿宋_GBK"/>
          <w:color w:val="000000"/>
          <w:sz w:val="28"/>
        </w:rPr>
        <w:t>中共隆尧县委网络安全和信息化委员会办公室（含所属单位）上年末固定资产金额为</w:t>
      </w:r>
      <w:r>
        <w:rPr>
          <w:rFonts w:hint="eastAsia" w:eastAsia="方正仿宋_GBK"/>
          <w:color w:val="000000"/>
          <w:sz w:val="28"/>
          <w:lang w:val="en-US" w:eastAsia="zh-CN"/>
        </w:rPr>
        <w:t>4.78</w:t>
      </w:r>
      <w:r>
        <w:rPr>
          <w:rFonts w:eastAsia="方正仿宋_GBK"/>
          <w:color w:val="000000"/>
          <w:sz w:val="28"/>
        </w:rPr>
        <w:t>万元（详见下表）。本年度拟购置固定资产总额为6.00万元，已按要求列入政府采购预算，详见政府采购预算表。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rPr>
                <w:rFonts w:hint="default" w:eastAsia="方正书宋_GBK"/>
                <w:lang w:val="en-US" w:eastAsia="zh-CN"/>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4.78</w:t>
            </w:r>
          </w:p>
        </w:tc>
      </w:tr>
    </w:tbl>
    <w:p>
      <w:pPr>
        <w:ind w:firstLine="640"/>
      </w:pPr>
      <w:r>
        <w:rPr>
          <w:rFonts w:eastAsia="方正仿宋_GBK"/>
          <w:color w:val="000000"/>
          <w:sz w:val="32"/>
        </w:rPr>
        <w:t xml:space="preserve"> </w:t>
      </w:r>
    </w:p>
    <w:p>
      <w:pPr>
        <w:spacing w:before="10" w:after="10"/>
        <w:ind w:firstLine="640"/>
        <w:outlineLvl w:val="2"/>
      </w:pPr>
      <w:bookmarkStart w:id="15" w:name="_Toc_3_3_0000000017"/>
      <w:r>
        <w:rPr>
          <w:rFonts w:ascii="黑体" w:hAnsi="黑体" w:eastAsia="黑体" w:cs="黑体"/>
          <w:color w:val="000000"/>
          <w:sz w:val="32"/>
        </w:rPr>
        <w:t>八、名词解释</w:t>
      </w:r>
      <w:bookmarkEnd w:id="15"/>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6" w:name="_Toc_3_3_0000000018"/>
      <w:r>
        <w:rPr>
          <w:rFonts w:ascii="黑体" w:hAnsi="黑体" w:eastAsia="黑体" w:cs="黑体"/>
          <w:color w:val="000000"/>
          <w:sz w:val="32"/>
        </w:rPr>
        <w:t>九、其他需要说明的事项</w:t>
      </w:r>
      <w:bookmarkEnd w:id="16"/>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7" w:name="_Toc_4_4_0000000019"/>
      <w:r>
        <w:rPr>
          <w:rFonts w:ascii="方正小标宋_GBK" w:hAnsi="方正小标宋_GBK" w:eastAsia="方正小标宋_GBK" w:cs="方正小标宋_GBK"/>
          <w:color w:val="000000"/>
          <w:sz w:val="44"/>
        </w:rPr>
        <w:t>一、中共隆尧县委网络安全和信息化委员会办公室本级 收支预算</w:t>
      </w:r>
      <w:bookmarkEnd w:id="17"/>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108.35</w:t>
            </w:r>
          </w:p>
        </w:tc>
        <w:tc>
          <w:tcPr>
            <w:tcW w:w="4535" w:type="dxa"/>
            <w:vAlign w:val="center"/>
          </w:tcPr>
          <w:p>
            <w:pPr>
              <w:pStyle w:val="14"/>
            </w:pPr>
            <w:r>
              <w:t>一、一般公共服务支出</w:t>
            </w:r>
          </w:p>
        </w:tc>
        <w:tc>
          <w:tcPr>
            <w:tcW w:w="2126" w:type="dxa"/>
            <w:vAlign w:val="center"/>
          </w:tcPr>
          <w:p>
            <w:pPr>
              <w:pStyle w:val="13"/>
            </w:pPr>
            <w:r>
              <w:t>92.54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108.35</w:t>
            </w:r>
          </w:p>
        </w:tc>
        <w:tc>
          <w:tcPr>
            <w:tcW w:w="4535" w:type="dxa"/>
            <w:vAlign w:val="center"/>
          </w:tcPr>
          <w:p>
            <w:pPr>
              <w:pStyle w:val="16"/>
            </w:pPr>
            <w:r>
              <w:t>本年支出合计</w:t>
            </w:r>
          </w:p>
        </w:tc>
        <w:tc>
          <w:tcPr>
            <w:tcW w:w="2126" w:type="dxa"/>
            <w:vAlign w:val="center"/>
          </w:tcPr>
          <w:p>
            <w:pPr>
              <w:pStyle w:val="17"/>
            </w:pPr>
            <w:r>
              <w:t>108.35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108.35</w:t>
            </w:r>
          </w:p>
        </w:tc>
        <w:tc>
          <w:tcPr>
            <w:tcW w:w="4535" w:type="dxa"/>
            <w:vAlign w:val="center"/>
          </w:tcPr>
          <w:p>
            <w:pPr>
              <w:pStyle w:val="16"/>
            </w:pPr>
            <w:r>
              <w:t>支出总计</w:t>
            </w:r>
          </w:p>
        </w:tc>
        <w:tc>
          <w:tcPr>
            <w:tcW w:w="2126" w:type="dxa"/>
            <w:vAlign w:val="center"/>
          </w:tcPr>
          <w:p>
            <w:pPr>
              <w:pStyle w:val="17"/>
            </w:pPr>
            <w:r>
              <w:t>108.35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108.35</w:t>
            </w:r>
          </w:p>
        </w:tc>
        <w:tc>
          <w:tcPr>
            <w:tcW w:w="1134" w:type="dxa"/>
            <w:vAlign w:val="center"/>
          </w:tcPr>
          <w:p>
            <w:pPr>
              <w:pStyle w:val="17"/>
            </w:pPr>
            <w:r>
              <w:t>108.35</w:t>
            </w:r>
          </w:p>
        </w:tc>
        <w:tc>
          <w:tcPr>
            <w:tcW w:w="1134" w:type="dxa"/>
            <w:vAlign w:val="center"/>
          </w:tcPr>
          <w:p>
            <w:pPr>
              <w:pStyle w:val="17"/>
            </w:pPr>
            <w:r>
              <w:t>108.35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92.54</w:t>
            </w:r>
          </w:p>
        </w:tc>
        <w:tc>
          <w:tcPr>
            <w:tcW w:w="1134" w:type="dxa"/>
            <w:vAlign w:val="center"/>
          </w:tcPr>
          <w:p>
            <w:pPr>
              <w:pStyle w:val="13"/>
            </w:pPr>
            <w:r>
              <w:t>92.54</w:t>
            </w:r>
          </w:p>
        </w:tc>
        <w:tc>
          <w:tcPr>
            <w:tcW w:w="1134" w:type="dxa"/>
            <w:vAlign w:val="center"/>
          </w:tcPr>
          <w:p>
            <w:pPr>
              <w:pStyle w:val="13"/>
            </w:pPr>
            <w:r>
              <w:t>92.54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20137</w:t>
            </w:r>
          </w:p>
        </w:tc>
        <w:tc>
          <w:tcPr>
            <w:tcW w:w="1559" w:type="dxa"/>
            <w:vAlign w:val="center"/>
          </w:tcPr>
          <w:p>
            <w:pPr>
              <w:pStyle w:val="14"/>
            </w:pPr>
            <w:r>
              <w:t>网信事务</w:t>
            </w:r>
          </w:p>
        </w:tc>
        <w:tc>
          <w:tcPr>
            <w:tcW w:w="1134" w:type="dxa"/>
            <w:vAlign w:val="center"/>
          </w:tcPr>
          <w:p>
            <w:pPr>
              <w:pStyle w:val="13"/>
            </w:pPr>
            <w:r>
              <w:t>92.54</w:t>
            </w:r>
          </w:p>
        </w:tc>
        <w:tc>
          <w:tcPr>
            <w:tcW w:w="1134" w:type="dxa"/>
            <w:vAlign w:val="center"/>
          </w:tcPr>
          <w:p>
            <w:pPr>
              <w:pStyle w:val="13"/>
            </w:pPr>
            <w:r>
              <w:t>92.54</w:t>
            </w:r>
          </w:p>
        </w:tc>
        <w:tc>
          <w:tcPr>
            <w:tcW w:w="1134" w:type="dxa"/>
            <w:vAlign w:val="center"/>
          </w:tcPr>
          <w:p>
            <w:pPr>
              <w:pStyle w:val="13"/>
            </w:pPr>
            <w:r>
              <w:t>92.54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2013701</w:t>
            </w:r>
          </w:p>
        </w:tc>
        <w:tc>
          <w:tcPr>
            <w:tcW w:w="1559" w:type="dxa"/>
            <w:vAlign w:val="center"/>
          </w:tcPr>
          <w:p>
            <w:pPr>
              <w:pStyle w:val="14"/>
            </w:pPr>
            <w:r>
              <w:t>行政运行</w:t>
            </w:r>
          </w:p>
        </w:tc>
        <w:tc>
          <w:tcPr>
            <w:tcW w:w="1134" w:type="dxa"/>
            <w:vAlign w:val="center"/>
          </w:tcPr>
          <w:p>
            <w:pPr>
              <w:pStyle w:val="13"/>
            </w:pPr>
            <w:r>
              <w:t>62.54</w:t>
            </w:r>
          </w:p>
        </w:tc>
        <w:tc>
          <w:tcPr>
            <w:tcW w:w="1134" w:type="dxa"/>
            <w:vAlign w:val="center"/>
          </w:tcPr>
          <w:p>
            <w:pPr>
              <w:pStyle w:val="13"/>
            </w:pPr>
            <w:r>
              <w:t>62.54</w:t>
            </w:r>
          </w:p>
        </w:tc>
        <w:tc>
          <w:tcPr>
            <w:tcW w:w="1134" w:type="dxa"/>
            <w:vAlign w:val="center"/>
          </w:tcPr>
          <w:p>
            <w:pPr>
              <w:pStyle w:val="13"/>
            </w:pPr>
            <w:r>
              <w:t>62.54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2013702</w:t>
            </w:r>
          </w:p>
        </w:tc>
        <w:tc>
          <w:tcPr>
            <w:tcW w:w="1559" w:type="dxa"/>
            <w:vAlign w:val="center"/>
          </w:tcPr>
          <w:p>
            <w:pPr>
              <w:pStyle w:val="14"/>
            </w:pPr>
            <w:r>
              <w:t>一般行政管理事务</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r>
              <w:t>6.51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r>
              <w:t>5.65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108.35</w:t>
            </w:r>
          </w:p>
        </w:tc>
        <w:tc>
          <w:tcPr>
            <w:tcW w:w="1361" w:type="dxa"/>
            <w:vAlign w:val="center"/>
          </w:tcPr>
          <w:p>
            <w:pPr>
              <w:pStyle w:val="17"/>
            </w:pPr>
            <w:r>
              <w:t>78.35</w:t>
            </w:r>
          </w:p>
        </w:tc>
        <w:tc>
          <w:tcPr>
            <w:tcW w:w="1361" w:type="dxa"/>
            <w:vAlign w:val="center"/>
          </w:tcPr>
          <w:p>
            <w:pPr>
              <w:pStyle w:val="17"/>
            </w:pPr>
            <w:r>
              <w:t>30.00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92.54</w:t>
            </w:r>
          </w:p>
        </w:tc>
        <w:tc>
          <w:tcPr>
            <w:tcW w:w="1361" w:type="dxa"/>
            <w:vAlign w:val="center"/>
          </w:tcPr>
          <w:p>
            <w:pPr>
              <w:pStyle w:val="13"/>
            </w:pPr>
            <w:r>
              <w:t>62.54</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20137</w:t>
            </w:r>
          </w:p>
        </w:tc>
        <w:tc>
          <w:tcPr>
            <w:tcW w:w="4535" w:type="dxa"/>
            <w:vAlign w:val="center"/>
          </w:tcPr>
          <w:p>
            <w:pPr>
              <w:pStyle w:val="14"/>
            </w:pPr>
            <w:r>
              <w:t>网信事务</w:t>
            </w:r>
          </w:p>
        </w:tc>
        <w:tc>
          <w:tcPr>
            <w:tcW w:w="1361" w:type="dxa"/>
            <w:vAlign w:val="center"/>
          </w:tcPr>
          <w:p>
            <w:pPr>
              <w:pStyle w:val="13"/>
            </w:pPr>
            <w:r>
              <w:t>92.54</w:t>
            </w:r>
          </w:p>
        </w:tc>
        <w:tc>
          <w:tcPr>
            <w:tcW w:w="1361" w:type="dxa"/>
            <w:vAlign w:val="center"/>
          </w:tcPr>
          <w:p>
            <w:pPr>
              <w:pStyle w:val="13"/>
            </w:pPr>
            <w:r>
              <w:t>62.54</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2013701</w:t>
            </w:r>
          </w:p>
        </w:tc>
        <w:tc>
          <w:tcPr>
            <w:tcW w:w="4535" w:type="dxa"/>
            <w:vAlign w:val="center"/>
          </w:tcPr>
          <w:p>
            <w:pPr>
              <w:pStyle w:val="14"/>
            </w:pPr>
            <w:r>
              <w:t>行政运行</w:t>
            </w:r>
          </w:p>
        </w:tc>
        <w:tc>
          <w:tcPr>
            <w:tcW w:w="1361" w:type="dxa"/>
            <w:vAlign w:val="center"/>
          </w:tcPr>
          <w:p>
            <w:pPr>
              <w:pStyle w:val="13"/>
            </w:pPr>
            <w:r>
              <w:t>62.54</w:t>
            </w:r>
          </w:p>
        </w:tc>
        <w:tc>
          <w:tcPr>
            <w:tcW w:w="1361" w:type="dxa"/>
            <w:vAlign w:val="center"/>
          </w:tcPr>
          <w:p>
            <w:pPr>
              <w:pStyle w:val="13"/>
            </w:pPr>
            <w:r>
              <w:t>62.54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2013702</w:t>
            </w:r>
          </w:p>
        </w:tc>
        <w:tc>
          <w:tcPr>
            <w:tcW w:w="4535" w:type="dxa"/>
            <w:vAlign w:val="center"/>
          </w:tcPr>
          <w:p>
            <w:pPr>
              <w:pStyle w:val="14"/>
            </w:pPr>
            <w:r>
              <w:t>一般行政管理事务</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6.51</w:t>
            </w:r>
          </w:p>
        </w:tc>
        <w:tc>
          <w:tcPr>
            <w:tcW w:w="1361" w:type="dxa"/>
            <w:vAlign w:val="center"/>
          </w:tcPr>
          <w:p>
            <w:pPr>
              <w:pStyle w:val="13"/>
            </w:pPr>
            <w:r>
              <w:t>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6.51</w:t>
            </w:r>
          </w:p>
        </w:tc>
        <w:tc>
          <w:tcPr>
            <w:tcW w:w="1361" w:type="dxa"/>
            <w:vAlign w:val="center"/>
          </w:tcPr>
          <w:p>
            <w:pPr>
              <w:pStyle w:val="13"/>
            </w:pPr>
            <w:r>
              <w:t>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6.51</w:t>
            </w:r>
          </w:p>
        </w:tc>
        <w:tc>
          <w:tcPr>
            <w:tcW w:w="1361" w:type="dxa"/>
            <w:vAlign w:val="center"/>
          </w:tcPr>
          <w:p>
            <w:pPr>
              <w:pStyle w:val="13"/>
            </w:pPr>
            <w:r>
              <w:t>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3.66</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3.66</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3.66</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5.65</w:t>
            </w:r>
          </w:p>
        </w:tc>
        <w:tc>
          <w:tcPr>
            <w:tcW w:w="1361" w:type="dxa"/>
            <w:vAlign w:val="center"/>
          </w:tcPr>
          <w:p>
            <w:pPr>
              <w:pStyle w:val="13"/>
            </w:pPr>
            <w:r>
              <w:t>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5.65</w:t>
            </w:r>
          </w:p>
        </w:tc>
        <w:tc>
          <w:tcPr>
            <w:tcW w:w="1361" w:type="dxa"/>
            <w:vAlign w:val="center"/>
          </w:tcPr>
          <w:p>
            <w:pPr>
              <w:pStyle w:val="13"/>
            </w:pPr>
            <w:r>
              <w:t>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5.65</w:t>
            </w:r>
          </w:p>
        </w:tc>
        <w:tc>
          <w:tcPr>
            <w:tcW w:w="1361" w:type="dxa"/>
            <w:vAlign w:val="center"/>
          </w:tcPr>
          <w:p>
            <w:pPr>
              <w:pStyle w:val="13"/>
            </w:pPr>
            <w:r>
              <w:t>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108.35</w:t>
            </w:r>
          </w:p>
        </w:tc>
        <w:tc>
          <w:tcPr>
            <w:tcW w:w="3402" w:type="dxa"/>
            <w:vAlign w:val="center"/>
          </w:tcPr>
          <w:p>
            <w:pPr>
              <w:pStyle w:val="14"/>
            </w:pPr>
            <w:r>
              <w:t>一、一般公共服务支出</w:t>
            </w:r>
          </w:p>
        </w:tc>
        <w:tc>
          <w:tcPr>
            <w:tcW w:w="1474" w:type="dxa"/>
            <w:vAlign w:val="center"/>
          </w:tcPr>
          <w:p>
            <w:pPr>
              <w:pStyle w:val="13"/>
            </w:pPr>
            <w:r>
              <w:t>92.54</w:t>
            </w:r>
          </w:p>
        </w:tc>
        <w:tc>
          <w:tcPr>
            <w:tcW w:w="1474" w:type="dxa"/>
            <w:vAlign w:val="center"/>
          </w:tcPr>
          <w:p>
            <w:pPr>
              <w:pStyle w:val="13"/>
            </w:pPr>
            <w:r>
              <w:t>92.54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6.51</w:t>
            </w:r>
          </w:p>
        </w:tc>
        <w:tc>
          <w:tcPr>
            <w:tcW w:w="1474" w:type="dxa"/>
            <w:vAlign w:val="center"/>
          </w:tcPr>
          <w:p>
            <w:pPr>
              <w:pStyle w:val="13"/>
            </w:pPr>
            <w:r>
              <w:t>6.51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3.66</w:t>
            </w:r>
          </w:p>
        </w:tc>
        <w:tc>
          <w:tcPr>
            <w:tcW w:w="1474" w:type="dxa"/>
            <w:vAlign w:val="center"/>
          </w:tcPr>
          <w:p>
            <w:pPr>
              <w:pStyle w:val="13"/>
            </w:pPr>
            <w:r>
              <w:t>3.66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5.65</w:t>
            </w:r>
          </w:p>
        </w:tc>
        <w:tc>
          <w:tcPr>
            <w:tcW w:w="1474" w:type="dxa"/>
            <w:vAlign w:val="center"/>
          </w:tcPr>
          <w:p>
            <w:pPr>
              <w:pStyle w:val="13"/>
            </w:pPr>
            <w:r>
              <w:t>5.65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108.35</w:t>
            </w:r>
          </w:p>
        </w:tc>
        <w:tc>
          <w:tcPr>
            <w:tcW w:w="3402" w:type="dxa"/>
            <w:vAlign w:val="center"/>
          </w:tcPr>
          <w:p>
            <w:pPr>
              <w:pStyle w:val="16"/>
            </w:pPr>
            <w:r>
              <w:t>本年支出合计</w:t>
            </w:r>
          </w:p>
        </w:tc>
        <w:tc>
          <w:tcPr>
            <w:tcW w:w="1474" w:type="dxa"/>
            <w:vAlign w:val="center"/>
          </w:tcPr>
          <w:p>
            <w:pPr>
              <w:pStyle w:val="17"/>
            </w:pPr>
            <w:r>
              <w:t>108.35</w:t>
            </w:r>
          </w:p>
        </w:tc>
        <w:tc>
          <w:tcPr>
            <w:tcW w:w="1474" w:type="dxa"/>
            <w:vAlign w:val="center"/>
          </w:tcPr>
          <w:p>
            <w:pPr>
              <w:pStyle w:val="17"/>
            </w:pPr>
            <w:r>
              <w:t>108.35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108.35</w:t>
            </w:r>
          </w:p>
        </w:tc>
        <w:tc>
          <w:tcPr>
            <w:tcW w:w="3402" w:type="dxa"/>
            <w:vAlign w:val="center"/>
          </w:tcPr>
          <w:p>
            <w:pPr>
              <w:pStyle w:val="16"/>
            </w:pPr>
            <w:r>
              <w:t>支出总计</w:t>
            </w:r>
          </w:p>
        </w:tc>
        <w:tc>
          <w:tcPr>
            <w:tcW w:w="1474" w:type="dxa"/>
            <w:vAlign w:val="center"/>
          </w:tcPr>
          <w:p>
            <w:pPr>
              <w:pStyle w:val="17"/>
            </w:pPr>
            <w:r>
              <w:t>108.35</w:t>
            </w:r>
          </w:p>
        </w:tc>
        <w:tc>
          <w:tcPr>
            <w:tcW w:w="1474" w:type="dxa"/>
            <w:vAlign w:val="center"/>
          </w:tcPr>
          <w:p>
            <w:pPr>
              <w:pStyle w:val="17"/>
            </w:pPr>
            <w:r>
              <w:t>108.35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108.35</w:t>
            </w:r>
          </w:p>
        </w:tc>
        <w:tc>
          <w:tcPr>
            <w:tcW w:w="2551" w:type="dxa"/>
            <w:vAlign w:val="center"/>
          </w:tcPr>
          <w:p>
            <w:pPr>
              <w:pStyle w:val="17"/>
            </w:pPr>
            <w:r>
              <w:t>78.35</w:t>
            </w:r>
          </w:p>
        </w:tc>
        <w:tc>
          <w:tcPr>
            <w:tcW w:w="2551" w:type="dxa"/>
            <w:vAlign w:val="center"/>
          </w:tcPr>
          <w:p>
            <w:pPr>
              <w:pStyle w:val="17"/>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92.54</w:t>
            </w:r>
          </w:p>
        </w:tc>
        <w:tc>
          <w:tcPr>
            <w:tcW w:w="2551" w:type="dxa"/>
            <w:vAlign w:val="center"/>
          </w:tcPr>
          <w:p>
            <w:pPr>
              <w:pStyle w:val="13"/>
            </w:pPr>
            <w:r>
              <w:t>62.54</w:t>
            </w: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20137</w:t>
            </w:r>
          </w:p>
        </w:tc>
        <w:tc>
          <w:tcPr>
            <w:tcW w:w="4535" w:type="dxa"/>
            <w:vAlign w:val="center"/>
          </w:tcPr>
          <w:p>
            <w:pPr>
              <w:pStyle w:val="14"/>
            </w:pPr>
            <w:r>
              <w:t>网信事务</w:t>
            </w:r>
          </w:p>
        </w:tc>
        <w:tc>
          <w:tcPr>
            <w:tcW w:w="2551" w:type="dxa"/>
            <w:vAlign w:val="center"/>
          </w:tcPr>
          <w:p>
            <w:pPr>
              <w:pStyle w:val="13"/>
            </w:pPr>
            <w:r>
              <w:t>92.54</w:t>
            </w:r>
          </w:p>
        </w:tc>
        <w:tc>
          <w:tcPr>
            <w:tcW w:w="2551" w:type="dxa"/>
            <w:vAlign w:val="center"/>
          </w:tcPr>
          <w:p>
            <w:pPr>
              <w:pStyle w:val="13"/>
            </w:pPr>
            <w:r>
              <w:t>62.54</w:t>
            </w: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2013701</w:t>
            </w:r>
          </w:p>
        </w:tc>
        <w:tc>
          <w:tcPr>
            <w:tcW w:w="4535" w:type="dxa"/>
            <w:vAlign w:val="center"/>
          </w:tcPr>
          <w:p>
            <w:pPr>
              <w:pStyle w:val="14"/>
            </w:pPr>
            <w:r>
              <w:t>行政运行</w:t>
            </w:r>
          </w:p>
        </w:tc>
        <w:tc>
          <w:tcPr>
            <w:tcW w:w="2551" w:type="dxa"/>
            <w:vAlign w:val="center"/>
          </w:tcPr>
          <w:p>
            <w:pPr>
              <w:pStyle w:val="13"/>
            </w:pPr>
            <w:r>
              <w:t>62.54</w:t>
            </w:r>
          </w:p>
        </w:tc>
        <w:tc>
          <w:tcPr>
            <w:tcW w:w="2551" w:type="dxa"/>
            <w:vAlign w:val="center"/>
          </w:tcPr>
          <w:p>
            <w:pPr>
              <w:pStyle w:val="13"/>
            </w:pPr>
            <w:r>
              <w:t>62.54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2013702</w:t>
            </w:r>
          </w:p>
        </w:tc>
        <w:tc>
          <w:tcPr>
            <w:tcW w:w="4535" w:type="dxa"/>
            <w:vAlign w:val="center"/>
          </w:tcPr>
          <w:p>
            <w:pPr>
              <w:pStyle w:val="14"/>
            </w:pPr>
            <w:r>
              <w:t>一般行政管理事务</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6.51</w:t>
            </w:r>
          </w:p>
        </w:tc>
        <w:tc>
          <w:tcPr>
            <w:tcW w:w="2551" w:type="dxa"/>
            <w:vAlign w:val="center"/>
          </w:tcPr>
          <w:p>
            <w:pPr>
              <w:pStyle w:val="13"/>
            </w:pPr>
            <w:r>
              <w:t>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6.51</w:t>
            </w:r>
          </w:p>
        </w:tc>
        <w:tc>
          <w:tcPr>
            <w:tcW w:w="2551" w:type="dxa"/>
            <w:vAlign w:val="center"/>
          </w:tcPr>
          <w:p>
            <w:pPr>
              <w:pStyle w:val="13"/>
            </w:pPr>
            <w:r>
              <w:t>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6.51</w:t>
            </w:r>
          </w:p>
        </w:tc>
        <w:tc>
          <w:tcPr>
            <w:tcW w:w="2551" w:type="dxa"/>
            <w:vAlign w:val="center"/>
          </w:tcPr>
          <w:p>
            <w:pPr>
              <w:pStyle w:val="13"/>
            </w:pPr>
            <w:r>
              <w:t>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3.66</w:t>
            </w:r>
          </w:p>
        </w:tc>
        <w:tc>
          <w:tcPr>
            <w:tcW w:w="2551" w:type="dxa"/>
            <w:vAlign w:val="center"/>
          </w:tcPr>
          <w:p>
            <w:pPr>
              <w:pStyle w:val="13"/>
            </w:pPr>
            <w:r>
              <w:t>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3.66</w:t>
            </w:r>
          </w:p>
        </w:tc>
        <w:tc>
          <w:tcPr>
            <w:tcW w:w="2551" w:type="dxa"/>
            <w:vAlign w:val="center"/>
          </w:tcPr>
          <w:p>
            <w:pPr>
              <w:pStyle w:val="13"/>
            </w:pPr>
            <w:r>
              <w:t>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3.66</w:t>
            </w:r>
          </w:p>
        </w:tc>
        <w:tc>
          <w:tcPr>
            <w:tcW w:w="2551" w:type="dxa"/>
            <w:vAlign w:val="center"/>
          </w:tcPr>
          <w:p>
            <w:pPr>
              <w:pStyle w:val="13"/>
            </w:pPr>
            <w:r>
              <w:t>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5.65</w:t>
            </w:r>
          </w:p>
        </w:tc>
        <w:tc>
          <w:tcPr>
            <w:tcW w:w="2551" w:type="dxa"/>
            <w:vAlign w:val="center"/>
          </w:tcPr>
          <w:p>
            <w:pPr>
              <w:pStyle w:val="13"/>
            </w:pPr>
            <w:r>
              <w:t>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5.65</w:t>
            </w:r>
          </w:p>
        </w:tc>
        <w:tc>
          <w:tcPr>
            <w:tcW w:w="2551" w:type="dxa"/>
            <w:vAlign w:val="center"/>
          </w:tcPr>
          <w:p>
            <w:pPr>
              <w:pStyle w:val="13"/>
            </w:pPr>
            <w:r>
              <w:t>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5.65</w:t>
            </w:r>
          </w:p>
        </w:tc>
        <w:tc>
          <w:tcPr>
            <w:tcW w:w="2551" w:type="dxa"/>
            <w:vAlign w:val="center"/>
          </w:tcPr>
          <w:p>
            <w:pPr>
              <w:pStyle w:val="13"/>
            </w:pPr>
            <w:r>
              <w:t>5.65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78.35</w:t>
            </w:r>
          </w:p>
        </w:tc>
        <w:tc>
          <w:tcPr>
            <w:tcW w:w="2551" w:type="dxa"/>
            <w:vAlign w:val="center"/>
          </w:tcPr>
          <w:p>
            <w:pPr>
              <w:pStyle w:val="17"/>
            </w:pPr>
            <w:r>
              <w:t>69.73</w:t>
            </w:r>
          </w:p>
        </w:tc>
        <w:tc>
          <w:tcPr>
            <w:tcW w:w="2551" w:type="dxa"/>
            <w:vAlign w:val="center"/>
          </w:tcPr>
          <w:p>
            <w:pPr>
              <w:pStyle w:val="17"/>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69.73</w:t>
            </w:r>
          </w:p>
        </w:tc>
        <w:tc>
          <w:tcPr>
            <w:tcW w:w="2551" w:type="dxa"/>
            <w:vAlign w:val="center"/>
          </w:tcPr>
          <w:p>
            <w:pPr>
              <w:pStyle w:val="13"/>
            </w:pPr>
            <w:r>
              <w:t>69.73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26.51</w:t>
            </w:r>
          </w:p>
        </w:tc>
        <w:tc>
          <w:tcPr>
            <w:tcW w:w="2551" w:type="dxa"/>
            <w:vAlign w:val="center"/>
          </w:tcPr>
          <w:p>
            <w:pPr>
              <w:pStyle w:val="13"/>
            </w:pPr>
            <w:r>
              <w:t>26.51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20.21</w:t>
            </w:r>
          </w:p>
        </w:tc>
        <w:tc>
          <w:tcPr>
            <w:tcW w:w="2551" w:type="dxa"/>
            <w:vAlign w:val="center"/>
          </w:tcPr>
          <w:p>
            <w:pPr>
              <w:pStyle w:val="13"/>
            </w:pPr>
            <w:r>
              <w:t>20.21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2.21</w:t>
            </w:r>
          </w:p>
        </w:tc>
        <w:tc>
          <w:tcPr>
            <w:tcW w:w="2551" w:type="dxa"/>
            <w:vAlign w:val="center"/>
          </w:tcPr>
          <w:p>
            <w:pPr>
              <w:pStyle w:val="13"/>
            </w:pPr>
            <w:r>
              <w:t>2.21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4.30</w:t>
            </w:r>
          </w:p>
        </w:tc>
        <w:tc>
          <w:tcPr>
            <w:tcW w:w="2551" w:type="dxa"/>
            <w:vAlign w:val="center"/>
          </w:tcPr>
          <w:p>
            <w:pPr>
              <w:pStyle w:val="13"/>
            </w:pPr>
            <w:r>
              <w:t>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6.51</w:t>
            </w:r>
          </w:p>
        </w:tc>
        <w:tc>
          <w:tcPr>
            <w:tcW w:w="2551" w:type="dxa"/>
            <w:vAlign w:val="center"/>
          </w:tcPr>
          <w:p>
            <w:pPr>
              <w:pStyle w:val="13"/>
            </w:pPr>
            <w:r>
              <w:t>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3.66</w:t>
            </w:r>
          </w:p>
        </w:tc>
        <w:tc>
          <w:tcPr>
            <w:tcW w:w="2551" w:type="dxa"/>
            <w:vAlign w:val="center"/>
          </w:tcPr>
          <w:p>
            <w:pPr>
              <w:pStyle w:val="13"/>
            </w:pPr>
            <w:r>
              <w:t>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0.69</w:t>
            </w:r>
          </w:p>
        </w:tc>
        <w:tc>
          <w:tcPr>
            <w:tcW w:w="2551" w:type="dxa"/>
            <w:vAlign w:val="center"/>
          </w:tcPr>
          <w:p>
            <w:pPr>
              <w:pStyle w:val="13"/>
            </w:pPr>
            <w:r>
              <w:t>0.69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5.65</w:t>
            </w:r>
          </w:p>
        </w:tc>
        <w:tc>
          <w:tcPr>
            <w:tcW w:w="2551" w:type="dxa"/>
            <w:vAlign w:val="center"/>
          </w:tcPr>
          <w:p>
            <w:pPr>
              <w:pStyle w:val="13"/>
            </w:pPr>
            <w:r>
              <w:t>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8.62</w:t>
            </w:r>
          </w:p>
        </w:tc>
        <w:tc>
          <w:tcPr>
            <w:tcW w:w="2551" w:type="dxa"/>
            <w:vAlign w:val="center"/>
          </w:tcPr>
          <w:p>
            <w:pPr>
              <w:pStyle w:val="13"/>
            </w:pPr>
          </w:p>
        </w:tc>
        <w:tc>
          <w:tcPr>
            <w:tcW w:w="2551" w:type="dxa"/>
            <w:vAlign w:val="center"/>
          </w:tcPr>
          <w:p>
            <w:pPr>
              <w:pStyle w:val="13"/>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0.70</w:t>
            </w:r>
          </w:p>
        </w:tc>
        <w:tc>
          <w:tcPr>
            <w:tcW w:w="2551" w:type="dxa"/>
            <w:vAlign w:val="center"/>
          </w:tcPr>
          <w:p>
            <w:pPr>
              <w:pStyle w:val="13"/>
            </w:pPr>
          </w:p>
        </w:tc>
        <w:tc>
          <w:tcPr>
            <w:tcW w:w="2551"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4.62</w:t>
            </w:r>
          </w:p>
        </w:tc>
        <w:tc>
          <w:tcPr>
            <w:tcW w:w="2551" w:type="dxa"/>
            <w:vAlign w:val="center"/>
          </w:tcPr>
          <w:p>
            <w:pPr>
              <w:pStyle w:val="13"/>
            </w:pPr>
          </w:p>
        </w:tc>
        <w:tc>
          <w:tcPr>
            <w:tcW w:w="2551" w:type="dxa"/>
            <w:vAlign w:val="center"/>
          </w:tcPr>
          <w:p>
            <w:pPr>
              <w:pStyle w:val="13"/>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p>
      <w:pPr>
        <w:ind w:firstLine="420"/>
        <w:rPr>
          <w:rFonts w:ascii="方正书宋_GBK" w:hAnsi="方正书宋_GBK" w:eastAsia="方正书宋_GBK" w:cs="方正书宋_GBK"/>
          <w:color w:val="000000"/>
          <w:sz w:val="21"/>
        </w:rPr>
      </w:pPr>
      <w:bookmarkStart w:id="18" w:name="_GoBack"/>
      <w:bookmarkEnd w:id="1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0.00</w:t>
            </w:r>
          </w:p>
        </w:tc>
        <w:tc>
          <w:tcPr>
            <w:tcW w:w="2381" w:type="dxa"/>
            <w:vAlign w:val="center"/>
          </w:tcPr>
          <w:p>
            <w:pPr>
              <w:pStyle w:val="17"/>
              <w:rPr>
                <w:rFonts w:hint="default" w:eastAsia="方正书宋_GBK"/>
                <w:lang w:val="en-US" w:eastAsia="zh-CN"/>
              </w:rPr>
            </w:pPr>
            <w:r>
              <w:rPr>
                <w:rFonts w:hint="eastAsia"/>
                <w:lang w:val="en-US" w:eastAsia="zh-CN"/>
              </w:rPr>
              <w:t>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0.00</w:t>
            </w:r>
          </w:p>
        </w:tc>
        <w:tc>
          <w:tcPr>
            <w:tcW w:w="2381" w:type="dxa"/>
            <w:vAlign w:val="center"/>
          </w:tcPr>
          <w:p>
            <w:pPr>
              <w:pStyle w:val="13"/>
              <w:rPr>
                <w:rFonts w:hint="default" w:eastAsia="方正书宋_GBK"/>
                <w:lang w:val="en-US" w:eastAsia="zh-CN"/>
              </w:rPr>
            </w:pPr>
            <w:r>
              <w:rPr>
                <w:rFonts w:hint="eastAsia"/>
                <w:lang w:val="en-US" w:eastAsia="zh-CN"/>
              </w:rPr>
              <w:t>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rPr>
                <w:rFonts w:hint="eastAsia" w:eastAsia="方正书宋_GBK"/>
                <w:lang w:eastAsia="zh-CN"/>
              </w:rPr>
            </w:pPr>
          </w:p>
        </w:tc>
        <w:tc>
          <w:tcPr>
            <w:tcW w:w="2381" w:type="dxa"/>
            <w:vAlign w:val="center"/>
          </w:tcPr>
          <w:p>
            <w:pPr>
              <w:pStyle w:val="13"/>
              <w:rPr>
                <w:rFonts w:hint="eastAsia" w:eastAsia="方正书宋_GBK"/>
                <w:lang w:eastAsia="zh-CN"/>
              </w:rPr>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隆尧县科学技术</w:t>
      </w:r>
    </w:p>
    <w:p>
      <w:pPr>
        <w:jc w:val="center"/>
        <w:outlineLvl w:val="4"/>
      </w:pPr>
      <w:r>
        <w:rPr>
          <w:rFonts w:ascii="方正小标宋_GBK" w:hAnsi="方正小标宋_GBK" w:eastAsia="方正小标宋_GBK" w:cs="方正小标宋_GBK"/>
          <w:color w:val="000000"/>
          <w:sz w:val="44"/>
        </w:rPr>
        <w:t>中共隆尧县委网络安全和信息化委员会办公室本级 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按照《预算法》、《地方预决算公开操作规程》和《关于进一步推进预算公开工作的实施意见》规定，现将中共隆尧县委网络安全和信息化委员会办公室本级 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 xml:space="preserve">中共隆尧县委网络安全和信息化委员会办公室本级 </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32"/>
      </w:pPr>
      <w:r>
        <w:t>二、单位预算安排情况</w:t>
      </w:r>
    </w:p>
    <w:p>
      <w:pPr>
        <w:pStyle w:val="32"/>
      </w:pPr>
      <w:r>
        <w:t>1.本单位当年全部收入。2022年预算收入103</w:t>
      </w:r>
      <w:r>
        <w:rPr>
          <w:rFonts w:hint="eastAsia"/>
          <w:lang w:val="en-US" w:eastAsia="zh-CN"/>
        </w:rPr>
        <w:t>.</w:t>
      </w:r>
      <w:r>
        <w:t>7318</w:t>
      </w:r>
      <w:r>
        <w:rPr>
          <w:rFonts w:hint="eastAsia"/>
          <w:lang w:eastAsia="zh-CN"/>
        </w:rPr>
        <w:t>万</w:t>
      </w:r>
      <w:r>
        <w:t>元，其中：一般公共预算收入103</w:t>
      </w:r>
      <w:r>
        <w:rPr>
          <w:rFonts w:hint="eastAsia"/>
          <w:lang w:val="en-US" w:eastAsia="zh-CN"/>
        </w:rPr>
        <w:t>.</w:t>
      </w:r>
      <w:r>
        <w:t>7318</w:t>
      </w:r>
      <w:r>
        <w:rPr>
          <w:rFonts w:hint="eastAsia"/>
          <w:lang w:eastAsia="zh-CN"/>
        </w:rPr>
        <w:t>万</w:t>
      </w:r>
      <w:r>
        <w:t>元，基金预算收入0</w:t>
      </w:r>
      <w:r>
        <w:rPr>
          <w:rFonts w:hint="eastAsia"/>
          <w:lang w:eastAsia="zh-CN"/>
        </w:rPr>
        <w:t>万</w:t>
      </w:r>
      <w:r>
        <w:t>元，财政专户核拨收入0</w:t>
      </w:r>
      <w:r>
        <w:rPr>
          <w:rFonts w:hint="eastAsia"/>
          <w:lang w:eastAsia="zh-CN"/>
        </w:rPr>
        <w:t>万</w:t>
      </w:r>
      <w:r>
        <w:t>元，其他来源收入（单位资金）0</w:t>
      </w:r>
      <w:r>
        <w:rPr>
          <w:rFonts w:hint="eastAsia"/>
          <w:lang w:eastAsia="zh-CN"/>
        </w:rPr>
        <w:t>万</w:t>
      </w:r>
      <w:r>
        <w:t>元，上年结转0</w:t>
      </w:r>
      <w:r>
        <w:rPr>
          <w:rFonts w:hint="eastAsia"/>
          <w:lang w:eastAsia="zh-CN"/>
        </w:rPr>
        <w:t>万</w:t>
      </w:r>
      <w:r>
        <w:t>元。</w:t>
      </w:r>
    </w:p>
    <w:p>
      <w:pPr>
        <w:pStyle w:val="32"/>
      </w:pPr>
      <w:r>
        <w:t>2、支出说明</w:t>
      </w:r>
    </w:p>
    <w:p>
      <w:pPr>
        <w:pStyle w:val="32"/>
      </w:pPr>
      <w:r>
        <w:t>收支预算总表支出栏、基本支出表、项目支出表按经济分类和支出功能分类科目编制，反映中共隆尧县委网络安全和信息化委员会办公室年度部门预算中支出预算的总体情况。2022年支出预算103</w:t>
      </w:r>
      <w:r>
        <w:rPr>
          <w:rFonts w:hint="eastAsia"/>
          <w:lang w:val="en-US" w:eastAsia="zh-CN"/>
        </w:rPr>
        <w:t>.</w:t>
      </w:r>
      <w:r>
        <w:t>7318</w:t>
      </w:r>
      <w:r>
        <w:rPr>
          <w:rFonts w:hint="eastAsia"/>
          <w:lang w:eastAsia="zh-CN"/>
        </w:rPr>
        <w:t>万</w:t>
      </w:r>
      <w:r>
        <w:t>元，其中基本支出73</w:t>
      </w:r>
      <w:r>
        <w:rPr>
          <w:rFonts w:hint="eastAsia"/>
          <w:lang w:val="en-US" w:eastAsia="zh-CN"/>
        </w:rPr>
        <w:t>.</w:t>
      </w:r>
      <w:r>
        <w:t>7318</w:t>
      </w:r>
      <w:r>
        <w:rPr>
          <w:rFonts w:hint="eastAsia"/>
          <w:lang w:eastAsia="zh-CN"/>
        </w:rPr>
        <w:t>万</w:t>
      </w:r>
      <w:r>
        <w:t>元，包括人员经费69</w:t>
      </w:r>
      <w:r>
        <w:rPr>
          <w:rFonts w:hint="eastAsia"/>
          <w:lang w:val="en-US" w:eastAsia="zh-CN"/>
        </w:rPr>
        <w:t>.</w:t>
      </w:r>
      <w:r>
        <w:t>2318</w:t>
      </w:r>
      <w:r>
        <w:rPr>
          <w:rFonts w:hint="eastAsia"/>
          <w:lang w:eastAsia="zh-CN"/>
        </w:rPr>
        <w:t>万</w:t>
      </w:r>
      <w:r>
        <w:t>元和日常公用经费4</w:t>
      </w:r>
      <w:r>
        <w:rPr>
          <w:rFonts w:hint="eastAsia"/>
          <w:lang w:val="en-US" w:eastAsia="zh-CN"/>
        </w:rPr>
        <w:t>.</w:t>
      </w:r>
      <w:r>
        <w:t>5000</w:t>
      </w:r>
      <w:r>
        <w:rPr>
          <w:rFonts w:hint="eastAsia"/>
          <w:lang w:eastAsia="zh-CN"/>
        </w:rPr>
        <w:t>万</w:t>
      </w:r>
      <w:r>
        <w:t>元；项目支出30</w:t>
      </w:r>
      <w:r>
        <w:rPr>
          <w:rFonts w:hint="eastAsia"/>
          <w:lang w:val="en-US" w:eastAsia="zh-CN"/>
        </w:rPr>
        <w:t>.</w:t>
      </w:r>
      <w:r>
        <w:t>0000</w:t>
      </w:r>
      <w:r>
        <w:rPr>
          <w:rFonts w:hint="eastAsia"/>
          <w:lang w:eastAsia="zh-CN"/>
        </w:rPr>
        <w:t>万</w:t>
      </w:r>
      <w:r>
        <w:t>元主要为专项业务项目支出。</w:t>
      </w:r>
    </w:p>
    <w:p>
      <w:pPr>
        <w:pStyle w:val="32"/>
      </w:pPr>
      <w:r>
        <w:t>3、比上年增减情况</w:t>
      </w:r>
    </w:p>
    <w:p>
      <w:pPr>
        <w:pStyle w:val="32"/>
      </w:pPr>
      <w:r>
        <w:t>2022年预算收支安排103</w:t>
      </w:r>
      <w:r>
        <w:rPr>
          <w:rFonts w:hint="eastAsia"/>
          <w:lang w:val="en-US" w:eastAsia="zh-CN"/>
        </w:rPr>
        <w:t>.</w:t>
      </w:r>
      <w:r>
        <w:t>7318</w:t>
      </w:r>
      <w:r>
        <w:rPr>
          <w:rFonts w:hint="eastAsia"/>
          <w:lang w:eastAsia="zh-CN"/>
        </w:rPr>
        <w:t>万</w:t>
      </w:r>
      <w:r>
        <w:t>元，较2021年年初预算增加48</w:t>
      </w:r>
      <w:r>
        <w:rPr>
          <w:rFonts w:hint="eastAsia"/>
          <w:lang w:val="en-US" w:eastAsia="zh-CN"/>
        </w:rPr>
        <w:t>.</w:t>
      </w:r>
      <w:r>
        <w:t>2852</w:t>
      </w:r>
      <w:r>
        <w:rPr>
          <w:rFonts w:hint="eastAsia"/>
          <w:lang w:eastAsia="zh-CN"/>
        </w:rPr>
        <w:t>万</w:t>
      </w:r>
      <w:r>
        <w:t>元，其中：主要增加费用为人员经费；我单位2022年在职人数为9人，比上年增加5人，主要为新招录四级联考人员2名，调入3名事业编人员。</w:t>
      </w:r>
    </w:p>
    <w:p>
      <w:pPr>
        <w:spacing w:before="10" w:after="10"/>
        <w:ind w:firstLine="640"/>
        <w:outlineLvl w:val="5"/>
      </w:pPr>
      <w:r>
        <w:rPr>
          <w:rFonts w:ascii="黑体" w:hAnsi="黑体" w:eastAsia="黑体" w:cs="黑体"/>
          <w:color w:val="000000"/>
          <w:sz w:val="32"/>
        </w:rPr>
        <w:t>三、机关运行经费安排情况</w:t>
      </w:r>
    </w:p>
    <w:p>
      <w:pPr>
        <w:pStyle w:val="33"/>
      </w:pPr>
      <w:r>
        <w:t>2022年，我办机关运行经费共计安排45000元，主要用于保证机关正常运转的办公及印刷费、邮电费、差旅费、党组织活动、工会费、福利费等支出。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t>2022年，我办部门财政拨款“三公”经费预算安排0</w:t>
      </w:r>
      <w:r>
        <w:rPr>
          <w:rFonts w:hint="eastAsia"/>
          <w:lang w:eastAsia="zh-CN"/>
        </w:rPr>
        <w:t>万</w:t>
      </w:r>
      <w:r>
        <w:t>元，其中：因公出国（境）费0</w:t>
      </w:r>
      <w:r>
        <w:rPr>
          <w:rFonts w:hint="eastAsia"/>
          <w:lang w:eastAsia="zh-CN"/>
        </w:rPr>
        <w:t>万</w:t>
      </w:r>
      <w:r>
        <w:t>元；公务用车购置及运维费0</w:t>
      </w:r>
      <w:r>
        <w:rPr>
          <w:rFonts w:hint="eastAsia"/>
          <w:lang w:eastAsia="zh-CN"/>
        </w:rPr>
        <w:t>万</w:t>
      </w:r>
      <w:r>
        <w:t>元（其中：公务用车购置费0</w:t>
      </w:r>
      <w:r>
        <w:rPr>
          <w:rFonts w:hint="eastAsia"/>
          <w:lang w:eastAsia="zh-CN"/>
        </w:rPr>
        <w:t>万</w:t>
      </w:r>
      <w:r>
        <w:t>元，公务用车运行维护费0</w:t>
      </w:r>
      <w:r>
        <w:rPr>
          <w:rFonts w:hint="eastAsia"/>
          <w:lang w:eastAsia="zh-CN"/>
        </w:rPr>
        <w:t>万</w:t>
      </w:r>
      <w:r>
        <w:t>元)；公务接待费0</w:t>
      </w:r>
      <w:r>
        <w:rPr>
          <w:rFonts w:hint="eastAsia"/>
          <w:lang w:eastAsia="zh-CN"/>
        </w:rPr>
        <w:t>万</w:t>
      </w:r>
      <w:r>
        <w:t>元。较上年相比无变化。主要是为无相关三公经费。</w:t>
      </w:r>
    </w:p>
    <w:p>
      <w:pPr>
        <w:spacing w:before="10" w:after="10"/>
        <w:ind w:firstLine="640"/>
        <w:outlineLvl w:val="5"/>
      </w:pPr>
      <w:r>
        <w:rPr>
          <w:rFonts w:ascii="黑体" w:hAnsi="黑体" w:eastAsia="黑体" w:cs="黑体"/>
          <w:color w:val="000000"/>
          <w:sz w:val="32"/>
        </w:rPr>
        <w:t>五、预算绩效信息</w:t>
      </w:r>
    </w:p>
    <w:p>
      <w:pPr>
        <w:pStyle w:val="26"/>
        <w:ind w:firstLine="560"/>
      </w:pPr>
      <w:r>
        <w:rPr>
          <w:rFonts w:ascii="方正仿宋_GBK" w:hAnsi="方正仿宋_GBK" w:eastAsia="方正仿宋_GBK" w:cs="方正仿宋_GBK"/>
          <w:b/>
          <w:color w:val="000000"/>
          <w:sz w:val="28"/>
        </w:rPr>
        <w:t>1、网络安全和信息化工作经费绩效目标表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1.全县网站摸排和网络安全检测</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全县网站摸排率</w:t>
            </w:r>
          </w:p>
        </w:tc>
        <w:tc>
          <w:tcPr>
            <w:tcW w:w="2835" w:type="dxa"/>
            <w:vAlign w:val="center"/>
          </w:tcPr>
          <w:p>
            <w:pPr>
              <w:pStyle w:val="28"/>
            </w:pPr>
            <w:r>
              <w:t>全县网站摸排率</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网站安全率</w:t>
            </w:r>
          </w:p>
        </w:tc>
        <w:tc>
          <w:tcPr>
            <w:tcW w:w="2835" w:type="dxa"/>
            <w:vAlign w:val="center"/>
          </w:tcPr>
          <w:p>
            <w:pPr>
              <w:pStyle w:val="28"/>
            </w:pPr>
            <w:r>
              <w:t>网站安全率</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网站安全及时处置率</w:t>
            </w:r>
          </w:p>
        </w:tc>
        <w:tc>
          <w:tcPr>
            <w:tcW w:w="2835" w:type="dxa"/>
            <w:vAlign w:val="center"/>
          </w:tcPr>
          <w:p>
            <w:pPr>
              <w:pStyle w:val="28"/>
            </w:pPr>
            <w:r>
              <w:t>网站安全及时处置率</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网站安全监测合作成本</w:t>
            </w:r>
          </w:p>
        </w:tc>
        <w:tc>
          <w:tcPr>
            <w:tcW w:w="2835" w:type="dxa"/>
            <w:vAlign w:val="center"/>
          </w:tcPr>
          <w:p>
            <w:pPr>
              <w:pStyle w:val="28"/>
            </w:pPr>
            <w:r>
              <w:t>网站安全监测合作成本</w:t>
            </w:r>
          </w:p>
        </w:tc>
        <w:tc>
          <w:tcPr>
            <w:tcW w:w="2551" w:type="dxa"/>
            <w:vAlign w:val="center"/>
          </w:tcPr>
          <w:p>
            <w:pPr>
              <w:pStyle w:val="28"/>
            </w:pPr>
            <w:r>
              <w:t>≤15万</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属地重点网站安全</w:t>
            </w:r>
          </w:p>
        </w:tc>
        <w:tc>
          <w:tcPr>
            <w:tcW w:w="2835" w:type="dxa"/>
            <w:vAlign w:val="center"/>
          </w:tcPr>
          <w:p>
            <w:pPr>
              <w:pStyle w:val="28"/>
            </w:pPr>
            <w:r>
              <w:t>属地重点网站安全</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≥100百分数</w:t>
            </w:r>
          </w:p>
        </w:tc>
        <w:tc>
          <w:tcPr>
            <w:tcW w:w="2268" w:type="dxa"/>
            <w:vAlign w:val="center"/>
          </w:tcPr>
          <w:p>
            <w:pPr>
              <w:pStyle w:val="28"/>
            </w:pPr>
            <w:r>
              <w:t>部门职责</w:t>
            </w:r>
          </w:p>
        </w:tc>
      </w:tr>
    </w:tbl>
    <w:p>
      <w:pPr>
        <w:pStyle w:val="26"/>
      </w:pPr>
    </w:p>
    <w:p>
      <w:pPr>
        <w:pStyle w:val="26"/>
        <w:ind w:firstLine="560"/>
      </w:pPr>
      <w:r>
        <w:rPr>
          <w:rFonts w:ascii="方正仿宋_GBK" w:hAnsi="方正仿宋_GBK" w:eastAsia="方正仿宋_GBK" w:cs="方正仿宋_GBK"/>
          <w:b/>
          <w:color w:val="000000"/>
          <w:sz w:val="28"/>
        </w:rPr>
        <w:t>2、舆情处置工作经费绩效目标表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1.及时处置网络舆情突发事件</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舆情产品刊发期数</w:t>
            </w:r>
          </w:p>
        </w:tc>
        <w:tc>
          <w:tcPr>
            <w:tcW w:w="2835" w:type="dxa"/>
            <w:vAlign w:val="center"/>
          </w:tcPr>
          <w:p>
            <w:pPr>
              <w:pStyle w:val="28"/>
            </w:pPr>
            <w:r>
              <w:t>舆情产品刊发期数</w:t>
            </w:r>
          </w:p>
        </w:tc>
        <w:tc>
          <w:tcPr>
            <w:tcW w:w="2551" w:type="dxa"/>
            <w:vAlign w:val="center"/>
          </w:tcPr>
          <w:p>
            <w:pPr>
              <w:pStyle w:val="28"/>
            </w:pPr>
            <w:r>
              <w:t>≥50期</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舆情高效处置</w:t>
            </w:r>
          </w:p>
        </w:tc>
        <w:tc>
          <w:tcPr>
            <w:tcW w:w="2835" w:type="dxa"/>
            <w:vAlign w:val="center"/>
          </w:tcPr>
          <w:p>
            <w:pPr>
              <w:pStyle w:val="28"/>
            </w:pPr>
            <w:r>
              <w:t>舆情高效处置</w:t>
            </w:r>
          </w:p>
        </w:tc>
        <w:tc>
          <w:tcPr>
            <w:tcW w:w="2551" w:type="dxa"/>
            <w:vAlign w:val="center"/>
          </w:tcPr>
          <w:p>
            <w:pPr>
              <w:pStyle w:val="28"/>
            </w:pPr>
            <w:r>
              <w:t>≥80百分数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舆情事件处置率</w:t>
            </w:r>
          </w:p>
        </w:tc>
        <w:tc>
          <w:tcPr>
            <w:tcW w:w="2835" w:type="dxa"/>
            <w:vAlign w:val="center"/>
          </w:tcPr>
          <w:p>
            <w:pPr>
              <w:pStyle w:val="28"/>
            </w:pPr>
            <w:r>
              <w:t>舆情事件处置率</w:t>
            </w:r>
          </w:p>
        </w:tc>
        <w:tc>
          <w:tcPr>
            <w:tcW w:w="2551" w:type="dxa"/>
            <w:vAlign w:val="center"/>
          </w:tcPr>
          <w:p>
            <w:pPr>
              <w:pStyle w:val="28"/>
            </w:pPr>
            <w:r>
              <w:t>≥90百分数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舆情产品成本</w:t>
            </w:r>
          </w:p>
        </w:tc>
        <w:tc>
          <w:tcPr>
            <w:tcW w:w="2835" w:type="dxa"/>
            <w:vAlign w:val="center"/>
          </w:tcPr>
          <w:p>
            <w:pPr>
              <w:pStyle w:val="28"/>
            </w:pPr>
            <w:r>
              <w:t>每期舆情产品成本</w:t>
            </w:r>
          </w:p>
        </w:tc>
        <w:tc>
          <w:tcPr>
            <w:tcW w:w="2551" w:type="dxa"/>
            <w:vAlign w:val="center"/>
          </w:tcPr>
          <w:p>
            <w:pPr>
              <w:pStyle w:val="28"/>
            </w:pPr>
            <w:r>
              <w:t>≤100元</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接受舆情数量</w:t>
            </w:r>
          </w:p>
        </w:tc>
        <w:tc>
          <w:tcPr>
            <w:tcW w:w="2835" w:type="dxa"/>
            <w:vAlign w:val="center"/>
          </w:tcPr>
          <w:p>
            <w:pPr>
              <w:pStyle w:val="28"/>
            </w:pPr>
            <w:r>
              <w:t>接受舆情数量</w:t>
            </w:r>
          </w:p>
        </w:tc>
        <w:tc>
          <w:tcPr>
            <w:tcW w:w="2551" w:type="dxa"/>
            <w:vAlign w:val="center"/>
          </w:tcPr>
          <w:p>
            <w:pPr>
              <w:pStyle w:val="28"/>
            </w:pPr>
            <w:r>
              <w:t>≥100百分数</w:t>
            </w:r>
          </w:p>
        </w:tc>
        <w:tc>
          <w:tcPr>
            <w:tcW w:w="2268" w:type="dxa"/>
            <w:vAlign w:val="center"/>
          </w:tcPr>
          <w:p>
            <w:pPr>
              <w:pStyle w:val="28"/>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≥100百分数</w:t>
            </w:r>
          </w:p>
        </w:tc>
        <w:tc>
          <w:tcPr>
            <w:tcW w:w="2268" w:type="dxa"/>
            <w:vAlign w:val="center"/>
          </w:tcPr>
          <w:p>
            <w:pPr>
              <w:pStyle w:val="28"/>
            </w:pPr>
            <w:r>
              <w:t>部门职责</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2022年，中共隆尧县委网络安全和信息化委员会办公室本级 安排政府采购预算6.00万元。具体内容见下表。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w:t>
            </w:r>
          </w:p>
        </w:tc>
        <w:tc>
          <w:tcPr>
            <w:tcW w:w="964" w:type="dxa"/>
            <w:vAlign w:val="center"/>
          </w:tcPr>
          <w:p>
            <w:pPr>
              <w:pStyle w:val="17"/>
            </w:pPr>
            <w:r>
              <w:t>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中共隆尧县委网络安全和信息化委员会办公室本级 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w:t>
            </w:r>
          </w:p>
        </w:tc>
        <w:tc>
          <w:tcPr>
            <w:tcW w:w="964" w:type="dxa"/>
            <w:vAlign w:val="center"/>
          </w:tcPr>
          <w:p>
            <w:pPr>
              <w:pStyle w:val="17"/>
            </w:pPr>
            <w:r>
              <w:t>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喷墨打印机</w:t>
            </w:r>
          </w:p>
        </w:tc>
        <w:tc>
          <w:tcPr>
            <w:tcW w:w="1134" w:type="dxa"/>
            <w:vAlign w:val="center"/>
          </w:tcPr>
          <w:p>
            <w:pPr>
              <w:pStyle w:val="14"/>
            </w:pPr>
            <w:r>
              <w:t>A0201060101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空调机</w:t>
            </w:r>
          </w:p>
        </w:tc>
        <w:tc>
          <w:tcPr>
            <w:tcW w:w="1134" w:type="dxa"/>
            <w:vAlign w:val="center"/>
          </w:tcPr>
          <w:p>
            <w:pPr>
              <w:pStyle w:val="14"/>
            </w:pPr>
            <w:r>
              <w:t>A0206180203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木制床类</w:t>
            </w:r>
          </w:p>
        </w:tc>
        <w:tc>
          <w:tcPr>
            <w:tcW w:w="1134" w:type="dxa"/>
            <w:vAlign w:val="center"/>
          </w:tcPr>
          <w:p>
            <w:pPr>
              <w:pStyle w:val="14"/>
            </w:pPr>
            <w:r>
              <w:t>A060104</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0.05</w:t>
            </w:r>
          </w:p>
        </w:tc>
        <w:tc>
          <w:tcPr>
            <w:tcW w:w="964" w:type="dxa"/>
            <w:vAlign w:val="center"/>
          </w:tcPr>
          <w:p>
            <w:pPr>
              <w:pStyle w:val="13"/>
            </w:pPr>
            <w:r>
              <w:t>0.05</w:t>
            </w:r>
          </w:p>
        </w:tc>
        <w:tc>
          <w:tcPr>
            <w:tcW w:w="964" w:type="dxa"/>
            <w:vAlign w:val="center"/>
          </w:tcPr>
          <w:p>
            <w:pPr>
              <w:pStyle w:val="13"/>
            </w:pPr>
            <w:r>
              <w:t>0.05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5</w:t>
            </w:r>
          </w:p>
        </w:tc>
        <w:tc>
          <w:tcPr>
            <w:tcW w:w="850" w:type="dxa"/>
            <w:vAlign w:val="center"/>
          </w:tcPr>
          <w:p>
            <w:pPr>
              <w:pStyle w:val="13"/>
            </w:pPr>
            <w:r>
              <w:t>0.05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0.03</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2</w:t>
            </w:r>
          </w:p>
        </w:tc>
        <w:tc>
          <w:tcPr>
            <w:tcW w:w="850" w:type="dxa"/>
            <w:vAlign w:val="center"/>
          </w:tcPr>
          <w:p>
            <w:pPr>
              <w:pStyle w:val="13"/>
            </w:pPr>
            <w:r>
              <w:t>0.04</w:t>
            </w:r>
          </w:p>
        </w:tc>
        <w:tc>
          <w:tcPr>
            <w:tcW w:w="964" w:type="dxa"/>
            <w:vAlign w:val="center"/>
          </w:tcPr>
          <w:p>
            <w:pPr>
              <w:pStyle w:val="13"/>
            </w:pPr>
            <w:r>
              <w:t>0.08</w:t>
            </w:r>
          </w:p>
        </w:tc>
        <w:tc>
          <w:tcPr>
            <w:tcW w:w="964" w:type="dxa"/>
            <w:vAlign w:val="center"/>
          </w:tcPr>
          <w:p>
            <w:pPr>
              <w:pStyle w:val="13"/>
            </w:pPr>
            <w:r>
              <w:t>0.08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金属骨架为主的椅凳类</w:t>
            </w:r>
          </w:p>
        </w:tc>
        <w:tc>
          <w:tcPr>
            <w:tcW w:w="1134" w:type="dxa"/>
            <w:vAlign w:val="center"/>
          </w:tcPr>
          <w:p>
            <w:pPr>
              <w:pStyle w:val="14"/>
            </w:pPr>
            <w:r>
              <w:t>A060301</w:t>
            </w:r>
          </w:p>
        </w:tc>
        <w:tc>
          <w:tcPr>
            <w:tcW w:w="709" w:type="dxa"/>
            <w:vAlign w:val="center"/>
          </w:tcPr>
          <w:p>
            <w:pPr>
              <w:pStyle w:val="15"/>
            </w:pPr>
            <w:r>
              <w:t>把</w:t>
            </w:r>
          </w:p>
        </w:tc>
        <w:tc>
          <w:tcPr>
            <w:tcW w:w="850" w:type="dxa"/>
            <w:vAlign w:val="center"/>
          </w:tcPr>
          <w:p>
            <w:pPr>
              <w:pStyle w:val="13"/>
            </w:pPr>
            <w:r>
              <w:t>5</w:t>
            </w:r>
          </w:p>
        </w:tc>
        <w:tc>
          <w:tcPr>
            <w:tcW w:w="850" w:type="dxa"/>
            <w:vAlign w:val="center"/>
          </w:tcPr>
          <w:p>
            <w:pPr>
              <w:pStyle w:val="13"/>
            </w:pPr>
            <w:r>
              <w:t>0.02</w:t>
            </w:r>
          </w:p>
        </w:tc>
        <w:tc>
          <w:tcPr>
            <w:tcW w:w="964" w:type="dxa"/>
            <w:vAlign w:val="center"/>
          </w:tcPr>
          <w:p>
            <w:pPr>
              <w:pStyle w:val="13"/>
            </w:pPr>
            <w:r>
              <w:t>0.09</w:t>
            </w:r>
          </w:p>
        </w:tc>
        <w:tc>
          <w:tcPr>
            <w:tcW w:w="964" w:type="dxa"/>
            <w:vAlign w:val="center"/>
          </w:tcPr>
          <w:p>
            <w:pPr>
              <w:pStyle w:val="13"/>
            </w:pPr>
            <w:r>
              <w:t>0.09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木骨架为主的椅凳类</w:t>
            </w:r>
          </w:p>
        </w:tc>
        <w:tc>
          <w:tcPr>
            <w:tcW w:w="1134" w:type="dxa"/>
            <w:vAlign w:val="center"/>
          </w:tcPr>
          <w:p>
            <w:pPr>
              <w:pStyle w:val="14"/>
            </w:pPr>
            <w:r>
              <w:t>A060302</w:t>
            </w:r>
          </w:p>
        </w:tc>
        <w:tc>
          <w:tcPr>
            <w:tcW w:w="709" w:type="dxa"/>
            <w:vAlign w:val="center"/>
          </w:tcPr>
          <w:p>
            <w:pPr>
              <w:pStyle w:val="15"/>
            </w:pPr>
            <w:r>
              <w:t>把</w:t>
            </w:r>
          </w:p>
        </w:tc>
        <w:tc>
          <w:tcPr>
            <w:tcW w:w="850" w:type="dxa"/>
            <w:vAlign w:val="center"/>
          </w:tcPr>
          <w:p>
            <w:pPr>
              <w:pStyle w:val="13"/>
            </w:pPr>
            <w:r>
              <w:t>12</w:t>
            </w:r>
          </w:p>
        </w:tc>
        <w:tc>
          <w:tcPr>
            <w:tcW w:w="850" w:type="dxa"/>
            <w:vAlign w:val="center"/>
          </w:tcPr>
          <w:p>
            <w:pPr>
              <w:pStyle w:val="13"/>
            </w:pPr>
            <w:r>
              <w:t>0.02</w:t>
            </w:r>
          </w:p>
        </w:tc>
        <w:tc>
          <w:tcPr>
            <w:tcW w:w="964" w:type="dxa"/>
            <w:vAlign w:val="center"/>
          </w:tcPr>
          <w:p>
            <w:pPr>
              <w:pStyle w:val="13"/>
            </w:pPr>
            <w:r>
              <w:t>0.18</w:t>
            </w:r>
          </w:p>
        </w:tc>
        <w:tc>
          <w:tcPr>
            <w:tcW w:w="964" w:type="dxa"/>
            <w:vAlign w:val="center"/>
          </w:tcPr>
          <w:p>
            <w:pPr>
              <w:pStyle w:val="13"/>
            </w:pPr>
            <w:r>
              <w:t>0.18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网络安全和信息化工作经费</w:t>
            </w:r>
          </w:p>
        </w:tc>
        <w:tc>
          <w:tcPr>
            <w:tcW w:w="964" w:type="dxa"/>
            <w:vAlign w:val="center"/>
          </w:tcPr>
          <w:p>
            <w:pPr>
              <w:pStyle w:val="13"/>
            </w:pPr>
            <w:r>
              <w:t>15.00</w:t>
            </w:r>
          </w:p>
        </w:tc>
        <w:tc>
          <w:tcPr>
            <w:tcW w:w="1134" w:type="dxa"/>
            <w:vAlign w:val="center"/>
          </w:tcPr>
          <w:p>
            <w:pPr>
              <w:pStyle w:val="14"/>
            </w:pPr>
            <w:r>
              <w:t>其他床上用具</w:t>
            </w:r>
          </w:p>
        </w:tc>
        <w:tc>
          <w:tcPr>
            <w:tcW w:w="1134" w:type="dxa"/>
            <w:vAlign w:val="center"/>
          </w:tcPr>
          <w:p>
            <w:pPr>
              <w:pStyle w:val="14"/>
            </w:pPr>
            <w:r>
              <w:t>A07030299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0.02</w:t>
            </w:r>
          </w:p>
        </w:tc>
        <w:tc>
          <w:tcPr>
            <w:tcW w:w="964" w:type="dxa"/>
            <w:vAlign w:val="center"/>
          </w:tcPr>
          <w:p>
            <w:pPr>
              <w:pStyle w:val="13"/>
            </w:pPr>
            <w:r>
              <w:t>0.02</w:t>
            </w:r>
          </w:p>
        </w:tc>
        <w:tc>
          <w:tcPr>
            <w:tcW w:w="964" w:type="dxa"/>
            <w:vAlign w:val="center"/>
          </w:tcPr>
          <w:p>
            <w:pPr>
              <w:pStyle w:val="13"/>
            </w:pPr>
            <w:r>
              <w:t>0.02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舆情处置工作经费</w:t>
            </w:r>
          </w:p>
        </w:tc>
        <w:tc>
          <w:tcPr>
            <w:tcW w:w="964" w:type="dxa"/>
            <w:vAlign w:val="center"/>
          </w:tcPr>
          <w:p>
            <w:pPr>
              <w:pStyle w:val="13"/>
            </w:pPr>
            <w:r>
              <w:t>15.00</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0.50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舆情处置工作经费</w:t>
            </w:r>
          </w:p>
        </w:tc>
        <w:tc>
          <w:tcPr>
            <w:tcW w:w="964" w:type="dxa"/>
            <w:vAlign w:val="center"/>
          </w:tcPr>
          <w:p>
            <w:pPr>
              <w:pStyle w:val="13"/>
            </w:pPr>
            <w:r>
              <w:t>15.00</w:t>
            </w:r>
          </w:p>
        </w:tc>
        <w:tc>
          <w:tcPr>
            <w:tcW w:w="1134" w:type="dxa"/>
            <w:vAlign w:val="center"/>
          </w:tcPr>
          <w:p>
            <w:pPr>
              <w:pStyle w:val="14"/>
            </w:pPr>
            <w:r>
              <w:t>激光打印机</w:t>
            </w:r>
          </w:p>
        </w:tc>
        <w:tc>
          <w:tcPr>
            <w:tcW w:w="1134" w:type="dxa"/>
            <w:vAlign w:val="center"/>
          </w:tcPr>
          <w:p>
            <w:pPr>
              <w:pStyle w:val="14"/>
            </w:pPr>
            <w:r>
              <w:t>A0201060102</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中共隆尧县委网络安全和信息化委员会办公室本级 上年末固定资产金额为</w:t>
      </w:r>
      <w:r>
        <w:rPr>
          <w:rFonts w:hint="eastAsia" w:eastAsia="方正仿宋_GBK"/>
          <w:color w:val="000000"/>
          <w:sz w:val="28"/>
          <w:lang w:val="en-US" w:eastAsia="zh-CN"/>
        </w:rPr>
        <w:t>4.78</w:t>
      </w:r>
      <w:r>
        <w:rPr>
          <w:rFonts w:eastAsia="方正仿宋_GBK"/>
          <w:color w:val="000000"/>
          <w:sz w:val="28"/>
        </w:rPr>
        <w:t>万元（详见下表）。本年度拟购置固定资产总额为6.00万元，已按要求列入政府采购预算，详见政府采购预算表。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 xml:space="preserve">288001中共隆尧县委网络安全和信息化委员会办公室本级 </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rPr>
                <w:rFonts w:hint="default" w:eastAsia="方正书宋_GBK"/>
                <w:lang w:val="en-US" w:eastAsia="zh-CN"/>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4.78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lhNDhiZGZlYWY4Nzg4MTAyMmZlODQ5MjcyZDFhNDQifQ=="/>
  </w:docVars>
  <w:rsids>
    <w:rsidRoot w:val="007C2044"/>
    <w:rsid w:val="00091AE4"/>
    <w:rsid w:val="00374E1B"/>
    <w:rsid w:val="007C2044"/>
    <w:rsid w:val="0090528D"/>
    <w:rsid w:val="00B56467"/>
    <w:rsid w:val="177F138F"/>
    <w:rsid w:val="1B381447"/>
    <w:rsid w:val="236F0B84"/>
    <w:rsid w:val="3B4C6425"/>
    <w:rsid w:val="5EA06A61"/>
    <w:rsid w:val="71365ED1"/>
    <w:rsid w:val="789E2E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Normal_622a6c9e-14bb-465c-aded-ca0543305c37"/>
    <w:qFormat/>
    <w:uiPriority w:val="0"/>
    <w:rPr>
      <w:rFonts w:ascii="Times New Roman" w:hAnsi="Times New Roman" w:eastAsia="Times New Roman" w:cs="Times New Roman"/>
      <w:sz w:val="24"/>
      <w:szCs w:val="24"/>
      <w:lang w:val="en-US" w:eastAsia="uk-UA" w:bidi="ar-SA"/>
    </w:rPr>
  </w:style>
  <w:style w:type="paragraph" w:customStyle="1" w:styleId="27">
    <w:name w:val="单元格样式1_55cdc20b-5245-43a0-955d-5ad086237ff0"/>
    <w:basedOn w:val="1"/>
    <w:qFormat/>
    <w:uiPriority w:val="0"/>
    <w:pPr>
      <w:jc w:val="center"/>
    </w:pPr>
    <w:rPr>
      <w:rFonts w:ascii="方正书宋_GBK" w:hAnsi="方正书宋_GBK" w:eastAsia="方正书宋_GBK" w:cs="方正书宋_GBK"/>
      <w:b/>
      <w:sz w:val="21"/>
    </w:rPr>
  </w:style>
  <w:style w:type="paragraph" w:customStyle="1" w:styleId="28">
    <w:name w:val="单元格样式2_6e258c12-b3a6-4d9a-aa40-ad0ff878472c"/>
    <w:basedOn w:val="1"/>
    <w:qFormat/>
    <w:uiPriority w:val="0"/>
    <w:rPr>
      <w:rFonts w:ascii="方正书宋_GBK" w:hAnsi="方正书宋_GBK" w:eastAsia="方正书宋_GBK" w:cs="方正书宋_GBK"/>
      <w:sz w:val="21"/>
    </w:rPr>
  </w:style>
  <w:style w:type="paragraph" w:customStyle="1" w:styleId="29">
    <w:name w:val="单元格样式3_f3a97ead-3dfb-4de1-a27b-3039258016b5"/>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2022-02-15T10:32:05Z</dcterms:created>
  <dcterms:modified xsi:type="dcterms:W3CDTF">2022-02-15T02:32:05Z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2022-02-15T10:32:01Z</dcterms:created>
  <dcterms:modified xsi:type="dcterms:W3CDTF">2022-02-15T02:32:00Z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2022-02-15T10:32:07Z</dcterms:created>
  <dcterms:modified xsi:type="dcterms:W3CDTF">2022-02-15T02:32:07Z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2022-02-15T10:32:02Z</dcterms:created>
  <dcterms:modified xsi:type="dcterms:W3CDTF">2022-02-15T02:32:02Z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7294107-DD6D-46E6-9167-733927281189}">
  <ds:schemaRefs/>
</ds:datastoreItem>
</file>

<file path=customXml/itemProps2.xml><?xml version="1.0" encoding="utf-8"?>
<ds:datastoreItem xmlns:ds="http://schemas.openxmlformats.org/officeDocument/2006/customXml" ds:itemID="{4B6396BA-AB20-4200-92DE-661DF9C7794E}">
  <ds:schemaRefs/>
</ds:datastoreItem>
</file>

<file path=customXml/itemProps3.xml><?xml version="1.0" encoding="utf-8"?>
<ds:datastoreItem xmlns:ds="http://schemas.openxmlformats.org/officeDocument/2006/customXml" ds:itemID="{396FEA07-D903-450E-B31B-AAFEF0B7237B}">
  <ds:schemaRefs/>
</ds:datastoreItem>
</file>

<file path=customXml/itemProps4.xml><?xml version="1.0" encoding="utf-8"?>
<ds:datastoreItem xmlns:ds="http://schemas.openxmlformats.org/officeDocument/2006/customXml" ds:itemID="{B1913420-EBB1-43F7-85B1-FAEE4662FFEF}">
  <ds:schemaRefs/>
</ds:datastoreItem>
</file>

<file path=customXml/itemProps5.xml><?xml version="1.0" encoding="utf-8"?>
<ds:datastoreItem xmlns:ds="http://schemas.openxmlformats.org/officeDocument/2006/customXml" ds:itemID="{9D8D8D51-AC4D-4E90-9D83-C4A033CD422E}">
  <ds:schemaRefs/>
</ds:datastoreItem>
</file>

<file path=customXml/itemProps6.xml><?xml version="1.0" encoding="utf-8"?>
<ds:datastoreItem xmlns:ds="http://schemas.openxmlformats.org/officeDocument/2006/customXml" ds:itemID="{4B74DAAB-956C-4772-AFDF-4FF176141339}">
  <ds:schemaRefs/>
</ds:datastoreItem>
</file>

<file path=customXml/itemProps7.xml><?xml version="1.0" encoding="utf-8"?>
<ds:datastoreItem xmlns:ds="http://schemas.openxmlformats.org/officeDocument/2006/customXml" ds:itemID="{D6E8ED64-5CAA-44B2-BA59-506B96EE2031}">
  <ds:schemaRefs/>
</ds:datastoreItem>
</file>

<file path=customXml/itemProps8.xml><?xml version="1.0" encoding="utf-8"?>
<ds:datastoreItem xmlns:ds="http://schemas.openxmlformats.org/officeDocument/2006/customXml" ds:itemID="{2C1436CC-9C43-4F7B-A3CC-52EF9778975A}">
  <ds:schemaRefs/>
</ds:datastoreItem>
</file>

<file path=docProps/app.xml><?xml version="1.0" encoding="utf-8"?>
<Properties xmlns="http://schemas.openxmlformats.org/officeDocument/2006/extended-properties" xmlns:vt="http://schemas.openxmlformats.org/officeDocument/2006/docPropsVTypes">
  <Template>Normal</Template>
  <Pages>46</Pages>
  <Words>13873</Words>
  <Characters>16753</Characters>
  <Lines>156</Lines>
  <Paragraphs>44</Paragraphs>
  <TotalTime>0</TotalTime>
  <ScaleCrop>false</ScaleCrop>
  <LinksUpToDate>false</LinksUpToDate>
  <CharactersWithSpaces>17083</CharactersWithSpaces>
  <Application>WPS Office_11.1.0.12156_F1E327BC-269C-435d-A152-05C5408002CA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2022-02-15T02:46:00Z</dcterms:created>
  <dc:creator>dsb</dc:creator>
  <cp:lastModifiedBy> </cp:lastModifiedBy>
  <dcterms:modified xsi:type="dcterms:W3CDTF">2022-08-31T01:51:54Z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2052-11.1.0.12156</vt:lpwstr>
  </property>
  <property fmtid="{D5CDD505-2E9C-101B-9397-08002B2CF9AE}" pid="3" name="ICV">
    <vt:lpwstr>A40CA0BCF2B44F81BE218A829C733A52</vt:lpwstr>
  </property>
</Properties>
</file>