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2640" w:firstLineChars="600"/>
        <w:jc w:val="both"/>
        <w:rPr>
          <w:rStyle w:val="6"/>
          <w:rFonts w:hint="eastAsia" w:ascii="方正小标宋简体" w:hAnsi="方正小标宋简体" w:eastAsia="方正小标宋简体" w:cs="方正小标宋简体"/>
          <w:b w:val="0"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</w:pPr>
      <w:r>
        <w:rPr>
          <w:rStyle w:val="6"/>
          <w:rFonts w:hint="eastAsia" w:ascii="方正小标宋简体" w:hAnsi="方正小标宋简体" w:eastAsia="方正小标宋简体" w:cs="方正小标宋简体"/>
          <w:b w:val="0"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val="en-US" w:eastAsia="zh-CN"/>
        </w:rPr>
        <w:t>隆尧县</w:t>
      </w:r>
      <w:bookmarkStart w:id="0" w:name="_GoBack"/>
      <w:bookmarkEnd w:id="0"/>
      <w:r>
        <w:rPr>
          <w:rStyle w:val="6"/>
          <w:rFonts w:hint="eastAsia" w:ascii="方正小标宋简体" w:hAnsi="方正小标宋简体" w:eastAsia="方正小标宋简体" w:cs="方正小标宋简体"/>
          <w:b w:val="0"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  <w:t>统计领域轻微违法行为包容免罚清单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0"/>
        <w:gridCol w:w="1620"/>
        <w:gridCol w:w="8880"/>
        <w:gridCol w:w="1290"/>
        <w:gridCol w:w="13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0" w:type="dxa"/>
          </w:tcPr>
          <w:p>
            <w:pPr>
              <w:jc w:val="center"/>
              <w:rPr>
                <w:rStyle w:val="6"/>
                <w:rFonts w:hint="eastAsia" w:ascii="黑体" w:hAnsi="黑体" w:eastAsia="黑体" w:cs="黑体"/>
                <w:b w:val="0"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黑体" w:hAnsi="黑体" w:eastAsia="黑体" w:cs="黑体"/>
                <w:b w:val="0"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  <w:t>序号</w:t>
            </w:r>
          </w:p>
        </w:tc>
        <w:tc>
          <w:tcPr>
            <w:tcW w:w="1620" w:type="dxa"/>
          </w:tcPr>
          <w:p>
            <w:pPr>
              <w:jc w:val="center"/>
              <w:rPr>
                <w:rStyle w:val="6"/>
                <w:rFonts w:hint="eastAsia" w:ascii="黑体" w:hAnsi="黑体" w:eastAsia="黑体" w:cs="黑体"/>
                <w:b w:val="0"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黑体" w:hAnsi="黑体" w:eastAsia="黑体" w:cs="黑体"/>
                <w:b w:val="0"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8880" w:type="dxa"/>
          </w:tcPr>
          <w:p>
            <w:pPr>
              <w:jc w:val="center"/>
              <w:rPr>
                <w:rStyle w:val="6"/>
                <w:rFonts w:hint="eastAsia" w:ascii="黑体" w:hAnsi="黑体" w:eastAsia="黑体" w:cs="黑体"/>
                <w:b w:val="0"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黑体" w:hAnsi="黑体" w:eastAsia="黑体" w:cs="黑体"/>
                <w:b w:val="0"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  <w:t>实施依据</w:t>
            </w:r>
          </w:p>
        </w:tc>
        <w:tc>
          <w:tcPr>
            <w:tcW w:w="1290" w:type="dxa"/>
          </w:tcPr>
          <w:p>
            <w:pPr>
              <w:jc w:val="center"/>
              <w:rPr>
                <w:rStyle w:val="6"/>
                <w:rFonts w:hint="eastAsia" w:ascii="黑体" w:hAnsi="黑体" w:eastAsia="黑体" w:cs="黑体"/>
                <w:b w:val="0"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黑体" w:hAnsi="黑体" w:eastAsia="黑体" w:cs="黑体"/>
                <w:b w:val="0"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  <w:t>免罚情形</w:t>
            </w:r>
          </w:p>
        </w:tc>
        <w:tc>
          <w:tcPr>
            <w:tcW w:w="1394" w:type="dxa"/>
          </w:tcPr>
          <w:p>
            <w:pPr>
              <w:jc w:val="center"/>
              <w:rPr>
                <w:rStyle w:val="6"/>
                <w:rFonts w:hint="eastAsia" w:ascii="黑体" w:hAnsi="黑体" w:eastAsia="黑体" w:cs="黑体"/>
                <w:b w:val="0"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黑体" w:hAnsi="黑体" w:eastAsia="黑体" w:cs="黑体"/>
                <w:b w:val="0"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  <w:t>适用条件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0" w:type="dxa"/>
            <w:vAlign w:val="center"/>
          </w:tcPr>
          <w:p>
            <w:pPr>
              <w:jc w:val="center"/>
              <w:rPr>
                <w:rStyle w:val="6"/>
                <w:rFonts w:hint="eastAsia" w:ascii="楷体_GB2312" w:hAnsi="楷体_GB2312" w:eastAsia="楷体_GB2312" w:cs="楷体_GB2312"/>
                <w:b w:val="0"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楷体_GB2312" w:hAnsi="楷体_GB2312" w:eastAsia="楷体_GB2312" w:cs="楷体_GB2312"/>
                <w:b w:val="0"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  <w:t>1</w:t>
            </w:r>
          </w:p>
        </w:tc>
        <w:tc>
          <w:tcPr>
            <w:tcW w:w="1620" w:type="dxa"/>
            <w:vAlign w:val="center"/>
          </w:tcPr>
          <w:p>
            <w:pPr>
              <w:jc w:val="both"/>
              <w:rPr>
                <w:rStyle w:val="6"/>
                <w:rFonts w:hint="eastAsia" w:ascii="楷体_GB2312" w:hAnsi="楷体_GB2312" w:eastAsia="楷体_GB2312" w:cs="楷体_GB2312"/>
                <w:b w:val="0"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vertAlign w:val="baseline"/>
              </w:rPr>
            </w:pP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</w:rPr>
              <w:t>对拒绝提供统计资料的处罚</w:t>
            </w:r>
          </w:p>
        </w:tc>
        <w:tc>
          <w:tcPr>
            <w:tcW w:w="8880" w:type="dxa"/>
            <w:vAlign w:val="center"/>
          </w:tcPr>
          <w:p>
            <w:pPr>
              <w:jc w:val="both"/>
              <w:rPr>
                <w:rStyle w:val="6"/>
                <w:rFonts w:hint="eastAsia" w:ascii="楷体_GB2312" w:hAnsi="楷体_GB2312" w:eastAsia="楷体_GB2312" w:cs="楷体_GB2312"/>
                <w:b w:val="0"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vertAlign w:val="baseline"/>
              </w:rPr>
            </w:pP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eastAsia="zh-CN"/>
              </w:rPr>
              <w:t>《中华人民共和国统计法》（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val="en-US"/>
              </w:rPr>
              <w:t>1983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eastAsia="zh-CN"/>
              </w:rPr>
              <w:t>年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val="en-US"/>
              </w:rPr>
              <w:t>12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eastAsia="zh-CN"/>
              </w:rPr>
              <w:t>月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val="en-US"/>
              </w:rPr>
              <w:t>8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eastAsia="zh-CN"/>
              </w:rPr>
              <w:t>日主席令第九号，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val="en-US"/>
              </w:rPr>
              <w:t>2009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eastAsia="zh-CN"/>
              </w:rPr>
              <w:t>年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val="en-US"/>
              </w:rPr>
              <w:t>6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eastAsia="zh-CN"/>
              </w:rPr>
              <w:t>月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val="en-US"/>
              </w:rPr>
              <w:t>27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eastAsia="zh-CN"/>
              </w:rPr>
              <w:t>日予以修订）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</w:rPr>
              <w:t>第四十一条　作为统计调查对象的国家机关、企业事业单位或者其他组织有下列行为之一的，由县级以上人民政府统计机构责令改正，给予警告，可以予以通报；其直接负责的主管人员和其他直接责任人员属于国家工作人员的，由任免机关或者监察机关依法给予处分：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lang w:val="en-US"/>
              </w:rPr>
              <w:br w:type="textWrapping"/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lang w:val="en-US"/>
              </w:rPr>
              <w:t>    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</w:rPr>
              <w:t>（一）拒绝提供统计资料或者经催报后仍未按时提供统计资料的；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lang w:val="en-US"/>
              </w:rPr>
              <w:br w:type="textWrapping"/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lang w:val="en-US"/>
              </w:rPr>
              <w:t>    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</w:rPr>
              <w:t>（二）提供不真实或者不完整的统计资料的；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lang w:val="en-US"/>
              </w:rPr>
              <w:br w:type="textWrapping"/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lang w:val="en-US"/>
              </w:rPr>
              <w:t>    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</w:rPr>
              <w:t>（三）拒绝答复或者不如实答复统计检查查询书的；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lang w:val="en-US"/>
              </w:rPr>
              <w:br w:type="textWrapping"/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lang w:val="en-US"/>
              </w:rPr>
              <w:t>    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</w:rPr>
              <w:t>（四）拒绝、阻碍统计调查、统计检查的；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lang w:val="en-US"/>
              </w:rPr>
              <w:br w:type="textWrapping"/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lang w:val="en-US"/>
              </w:rPr>
              <w:t>    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</w:rPr>
              <w:t>（五）转移、隐匿、篡改、毁弃或者拒绝提供原始记录和凭证、统计台账、统计调查表及其他相关证明和资料的。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lang w:val="en-US"/>
              </w:rPr>
              <w:br w:type="textWrapping"/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lang w:val="en-US"/>
              </w:rPr>
              <w:t>    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</w:rPr>
              <w:t>企业事业单位或者其他组织有前款所列行为之一的，可以并处五万元以下的罚款；情节严重的，并处五万元以上二十万元以下的罚款。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lang w:val="en-US"/>
              </w:rPr>
              <w:br w:type="textWrapping"/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lang w:val="en-US"/>
              </w:rPr>
              <w:t>    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</w:rPr>
              <w:t>个体工商户有本条第一款所列行为之一的，由县级以上人民政府统计机构责令改正，给予警告，可以并处一万元以下的罚款。</w:t>
            </w:r>
          </w:p>
        </w:tc>
        <w:tc>
          <w:tcPr>
            <w:tcW w:w="1290" w:type="dxa"/>
            <w:vAlign w:val="center"/>
          </w:tcPr>
          <w:p>
            <w:pPr>
              <w:jc w:val="both"/>
              <w:rPr>
                <w:rStyle w:val="6"/>
                <w:rFonts w:hint="eastAsia" w:ascii="楷体_GB2312" w:hAnsi="楷体_GB2312" w:eastAsia="楷体_GB2312" w:cs="楷体_GB2312"/>
                <w:b w:val="0"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vertAlign w:val="baseline"/>
              </w:rPr>
            </w:pP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</w:rPr>
              <w:t>首违免罚</w:t>
            </w:r>
          </w:p>
        </w:tc>
        <w:tc>
          <w:tcPr>
            <w:tcW w:w="1394" w:type="dxa"/>
            <w:vAlign w:val="center"/>
          </w:tcPr>
          <w:p>
            <w:pPr>
              <w:jc w:val="both"/>
              <w:rPr>
                <w:rStyle w:val="6"/>
                <w:rFonts w:hint="eastAsia" w:ascii="楷体_GB2312" w:hAnsi="楷体_GB2312" w:eastAsia="楷体_GB2312" w:cs="楷体_GB2312"/>
                <w:b w:val="0"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vertAlign w:val="baseline"/>
              </w:rPr>
            </w:pP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eastAsia="zh-CN"/>
              </w:rPr>
              <w:t>初次违法且危害后果轻微并及时改正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0" w:type="dxa"/>
            <w:vAlign w:val="center"/>
          </w:tcPr>
          <w:p>
            <w:pPr>
              <w:jc w:val="center"/>
              <w:rPr>
                <w:rStyle w:val="6"/>
                <w:rFonts w:hint="eastAsia" w:ascii="楷体_GB2312" w:hAnsi="楷体_GB2312" w:eastAsia="楷体_GB2312" w:cs="楷体_GB2312"/>
                <w:b w:val="0"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</w:pPr>
            <w:r>
              <w:rPr>
                <w:rStyle w:val="6"/>
                <w:rFonts w:hint="eastAsia" w:ascii="楷体_GB2312" w:hAnsi="楷体_GB2312" w:eastAsia="楷体_GB2312" w:cs="楷体_GB2312"/>
                <w:b w:val="0"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vertAlign w:val="baseline"/>
                <w:lang w:val="en-US" w:eastAsia="zh-CN"/>
              </w:rPr>
              <w:t>2</w:t>
            </w:r>
          </w:p>
        </w:tc>
        <w:tc>
          <w:tcPr>
            <w:tcW w:w="1620" w:type="dxa"/>
            <w:vAlign w:val="center"/>
          </w:tcPr>
          <w:p>
            <w:pPr>
              <w:jc w:val="both"/>
              <w:rPr>
                <w:rStyle w:val="6"/>
                <w:rFonts w:hint="eastAsia" w:ascii="楷体_GB2312" w:hAnsi="楷体_GB2312" w:eastAsia="楷体_GB2312" w:cs="楷体_GB2312"/>
                <w:b w:val="0"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vertAlign w:val="baseline"/>
              </w:rPr>
            </w:pP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</w:rPr>
              <w:t>对迟报统计资料，未按照国家有关规定设置原始记录、统计台账的处罚</w:t>
            </w:r>
          </w:p>
        </w:tc>
        <w:tc>
          <w:tcPr>
            <w:tcW w:w="8880" w:type="dxa"/>
            <w:vAlign w:val="center"/>
          </w:tcPr>
          <w:p>
            <w:pPr>
              <w:jc w:val="both"/>
              <w:rPr>
                <w:rStyle w:val="6"/>
                <w:rFonts w:hint="eastAsia" w:ascii="楷体_GB2312" w:hAnsi="楷体_GB2312" w:eastAsia="楷体_GB2312" w:cs="楷体_GB2312"/>
                <w:b w:val="0"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vertAlign w:val="baseline"/>
              </w:rPr>
            </w:pP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eastAsia="zh-CN"/>
              </w:rPr>
              <w:t>《中华人民共和国统计法》（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val="en-US"/>
              </w:rPr>
              <w:t>1983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eastAsia="zh-CN"/>
              </w:rPr>
              <w:t>年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val="en-US"/>
              </w:rPr>
              <w:t>12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eastAsia="zh-CN"/>
              </w:rPr>
              <w:t>月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val="en-US"/>
              </w:rPr>
              <w:t>8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eastAsia="zh-CN"/>
              </w:rPr>
              <w:t>日主席令第九号，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val="en-US"/>
              </w:rPr>
              <w:t>2009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eastAsia="zh-CN"/>
              </w:rPr>
              <w:t>年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val="en-US"/>
              </w:rPr>
              <w:t>6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eastAsia="zh-CN"/>
              </w:rPr>
              <w:t>月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val="en-US"/>
              </w:rPr>
              <w:t>27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eastAsia="zh-CN"/>
              </w:rPr>
              <w:t>日予以修订）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</w:rPr>
              <w:t>  第四十二条　作为统计调查对象的国家机关、企业事业单位或者其他组织迟报统计资料，或者未按照国家有关规定设置原始记录、统计台账的，由县级以上人民政府统计机构责令改正，给予警告。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lang w:val="en-US"/>
              </w:rPr>
              <w:br w:type="textWrapping"/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lang w:val="en-US"/>
              </w:rPr>
              <w:t>    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</w:rPr>
              <w:t>企业事业单位或者其他组织有前款所列行为之一的，可以并处一万元以下的罚款。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lang w:val="en-US"/>
              </w:rPr>
              <w:br w:type="textWrapping"/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lang w:val="en-US"/>
              </w:rPr>
              <w:t>    </w:t>
            </w: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</w:rPr>
              <w:t>个体工商户迟报统计资料的，由县级以上人民政府统计机构责令改正，给予警告，可以并处一千元以下的罚款。</w:t>
            </w:r>
          </w:p>
        </w:tc>
        <w:tc>
          <w:tcPr>
            <w:tcW w:w="1290" w:type="dxa"/>
            <w:vAlign w:val="center"/>
          </w:tcPr>
          <w:p>
            <w:pPr>
              <w:jc w:val="both"/>
              <w:rPr>
                <w:rStyle w:val="6"/>
                <w:rFonts w:hint="eastAsia" w:ascii="楷体_GB2312" w:hAnsi="楷体_GB2312" w:eastAsia="楷体_GB2312" w:cs="楷体_GB2312"/>
                <w:b w:val="0"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vertAlign w:val="baseline"/>
              </w:rPr>
            </w:pP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</w:rPr>
              <w:t>首违免罚</w:t>
            </w:r>
          </w:p>
        </w:tc>
        <w:tc>
          <w:tcPr>
            <w:tcW w:w="1394" w:type="dxa"/>
            <w:vAlign w:val="center"/>
          </w:tcPr>
          <w:p>
            <w:pPr>
              <w:jc w:val="both"/>
              <w:rPr>
                <w:rStyle w:val="6"/>
                <w:rFonts w:hint="eastAsia" w:ascii="楷体_GB2312" w:hAnsi="楷体_GB2312" w:eastAsia="楷体_GB2312" w:cs="楷体_GB2312"/>
                <w:b w:val="0"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vertAlign w:val="baseline"/>
              </w:rPr>
            </w:pPr>
            <w:r>
              <w:rPr>
                <w:rFonts w:hint="eastAsia" w:ascii="楷体_GB2312" w:hAnsi="楷体_GB2312" w:eastAsia="楷体_GB2312" w:cs="楷体_GB2312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u w:val="none"/>
                <w:shd w:val="clear" w:fill="FFFFFF"/>
                <w:lang w:eastAsia="zh-CN"/>
              </w:rPr>
              <w:t>初次违法且危害后果轻微并及时改正</w:t>
            </w:r>
          </w:p>
        </w:tc>
      </w:tr>
    </w:tbl>
    <w:p>
      <w:pPr>
        <w:jc w:val="both"/>
        <w:rPr>
          <w:rStyle w:val="6"/>
          <w:rFonts w:hint="eastAsia" w:ascii="方正小标宋简体" w:hAnsi="方正小标宋简体" w:eastAsia="方正小标宋简体" w:cs="方正小标宋简体"/>
          <w:b w:val="0"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7742C7"/>
    <w:rsid w:val="077742C7"/>
    <w:rsid w:val="4E05631B"/>
    <w:rsid w:val="5E0C0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rPr>
      <w:sz w:val="24"/>
    </w:r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29</TotalTime>
  <ScaleCrop>false</ScaleCrop>
  <LinksUpToDate>false</LinksUpToDate>
  <CharactersWithSpaces>0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2022-07-27T01:10:00Z</dcterms:created>
  <dc:creator>lxx</dc:creator>
  <cp:lastModifiedBy>dell</cp:lastModifiedBy>
  <dcterms:modified xsi:type="dcterms:W3CDTF">2022-08-03T00:30:45Z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  <property fmtid="{D5CDD505-2E9C-101B-9397-08002B2CF9AE}" pid="3" name="ICV">
    <vt:lpwstr>43BEF07528E94E71A24A925AEAB8788E</vt:lpwstr>
  </property>
</Properties>
</file>