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580" w:lineRule="atLeast"/>
        <w:jc w:val="center"/>
        <w:rPr>
          <w:rFonts w:hint="eastAsia" w:ascii="方正小标宋_GBK" w:hAnsi="黑体" w:eastAsia="方正小标宋_GBK" w:cs="宋体"/>
          <w:kern w:val="0"/>
          <w:sz w:val="36"/>
          <w:szCs w:val="36"/>
        </w:rPr>
      </w:pPr>
      <w:r>
        <w:rPr>
          <w:rFonts w:hint="eastAsia" w:ascii="方正小标宋_GBK" w:hAnsi="黑体" w:eastAsia="方正小标宋_GBK" w:cs="宋体"/>
          <w:kern w:val="0"/>
          <w:sz w:val="36"/>
          <w:szCs w:val="36"/>
        </w:rPr>
        <w:t>隆尧县2020年政府债务举借预算公开事项说明</w:t>
      </w:r>
    </w:p>
    <w:p>
      <w:pPr>
        <w:widowControl/>
        <w:spacing w:line="580" w:lineRule="atLeast"/>
        <w:jc w:val="center"/>
        <w:rPr>
          <w:rFonts w:ascii="宋体" w:hAnsi="宋体" w:cs="宋体"/>
          <w:kern w:val="0"/>
          <w:sz w:val="32"/>
          <w:szCs w:val="32"/>
        </w:rPr>
      </w:pPr>
      <w:r>
        <w:rPr>
          <w:rFonts w:hint="eastAsia" w:ascii="宋体" w:hAnsi="宋体" w:cs="宋体"/>
          <w:kern w:val="0"/>
          <w:sz w:val="32"/>
          <w:szCs w:val="32"/>
        </w:rPr>
        <w:t>（202</w:t>
      </w:r>
      <w:r>
        <w:rPr>
          <w:rFonts w:hint="eastAsia" w:ascii="宋体" w:hAnsi="宋体" w:cs="宋体"/>
          <w:kern w:val="0"/>
          <w:sz w:val="32"/>
          <w:szCs w:val="32"/>
          <w:lang w:val="en-US" w:eastAsia="zh-CN"/>
        </w:rPr>
        <w:t>1</w:t>
      </w:r>
      <w:r>
        <w:rPr>
          <w:rFonts w:hint="eastAsia" w:ascii="宋体" w:hAnsi="宋体" w:cs="宋体"/>
          <w:kern w:val="0"/>
          <w:sz w:val="32"/>
          <w:szCs w:val="32"/>
        </w:rPr>
        <w:t>年2</w:t>
      </w:r>
      <w:r>
        <w:rPr>
          <w:rFonts w:hint="eastAsia" w:ascii="宋体" w:hAnsi="宋体" w:cs="宋体"/>
          <w:kern w:val="0"/>
          <w:sz w:val="32"/>
          <w:szCs w:val="32"/>
          <w:lang w:eastAsia="zh-CN"/>
        </w:rPr>
        <w:t>月</w:t>
      </w:r>
      <w:r>
        <w:rPr>
          <w:rFonts w:hint="eastAsia" w:ascii="宋体" w:hAnsi="宋体" w:cs="宋体"/>
          <w:kern w:val="0"/>
          <w:sz w:val="32"/>
          <w:szCs w:val="32"/>
          <w:lang w:val="en-US" w:eastAsia="zh-CN"/>
        </w:rPr>
        <w:t>2</w:t>
      </w:r>
      <w:r>
        <w:rPr>
          <w:rFonts w:hint="eastAsia" w:ascii="宋体" w:hAnsi="宋体" w:cs="宋体"/>
          <w:kern w:val="0"/>
          <w:sz w:val="32"/>
          <w:szCs w:val="32"/>
        </w:rPr>
        <w:t>1日）</w:t>
      </w:r>
    </w:p>
    <w:p>
      <w:pPr>
        <w:widowControl/>
        <w:spacing w:line="580" w:lineRule="atLeast"/>
        <w:ind w:firstLine="640"/>
        <w:jc w:val="left"/>
        <w:rPr>
          <w:rFonts w:ascii="仿宋" w:hAnsi="仿宋" w:eastAsia="仿宋" w:cs="宋体"/>
          <w:kern w:val="0"/>
          <w:sz w:val="32"/>
          <w:szCs w:val="32"/>
        </w:rPr>
      </w:pPr>
      <w:r>
        <w:rPr>
          <w:rFonts w:hint="eastAsia" w:ascii="仿宋" w:hAnsi="仿宋" w:eastAsia="仿宋" w:cs="宋体"/>
          <w:kern w:val="0"/>
          <w:sz w:val="32"/>
          <w:szCs w:val="32"/>
        </w:rPr>
        <w:t>根据河北省预算公开操作规程,现对2021年总预算公开政府债务事项作说明:</w:t>
      </w:r>
    </w:p>
    <w:p>
      <w:pPr>
        <w:widowControl/>
        <w:spacing w:line="580" w:lineRule="atLeast"/>
        <w:jc w:val="left"/>
        <w:rPr>
          <w:rFonts w:ascii="仿宋" w:hAnsi="仿宋" w:eastAsia="仿宋"/>
          <w:b/>
          <w:sz w:val="32"/>
          <w:szCs w:val="32"/>
        </w:rPr>
      </w:pPr>
      <w:r>
        <w:rPr>
          <w:rFonts w:hint="eastAsia" w:ascii="仿宋" w:hAnsi="仿宋" w:eastAsia="仿宋"/>
          <w:b/>
          <w:sz w:val="32"/>
          <w:szCs w:val="32"/>
        </w:rPr>
        <w:t xml:space="preserve">一、2020年债务限额情况  </w:t>
      </w:r>
    </w:p>
    <w:p>
      <w:pPr>
        <w:jc w:val="left"/>
        <w:rPr>
          <w:rFonts w:ascii="仿宋" w:hAnsi="仿宋" w:eastAsia="仿宋"/>
          <w:sz w:val="32"/>
          <w:szCs w:val="32"/>
        </w:rPr>
      </w:pPr>
      <w:r>
        <w:rPr>
          <w:rFonts w:hint="eastAsia" w:ascii="仿宋" w:hAnsi="仿宋" w:eastAsia="仿宋"/>
          <w:sz w:val="32"/>
          <w:szCs w:val="32"/>
        </w:rPr>
        <w:t xml:space="preserve">    1、省厅核定我县2020年</w:t>
      </w:r>
      <w:bookmarkStart w:id="0" w:name="_GoBack"/>
      <w:bookmarkEnd w:id="0"/>
      <w:r>
        <w:rPr>
          <w:rFonts w:hint="eastAsia" w:ascii="仿宋" w:hAnsi="仿宋" w:eastAsia="仿宋"/>
          <w:sz w:val="32"/>
          <w:szCs w:val="32"/>
        </w:rPr>
        <w:t>债务限额</w:t>
      </w:r>
      <w:r>
        <w:rPr>
          <w:rFonts w:hint="eastAsia" w:ascii="宋体" w:hAnsi="宋体" w:cs="宋体"/>
          <w:color w:val="000000"/>
          <w:kern w:val="0"/>
          <w:sz w:val="28"/>
          <w:szCs w:val="28"/>
        </w:rPr>
        <w:t>162721</w:t>
      </w:r>
      <w:r>
        <w:rPr>
          <w:rFonts w:hint="eastAsia" w:ascii="仿宋" w:hAnsi="仿宋" w:eastAsia="仿宋"/>
          <w:sz w:val="32"/>
          <w:szCs w:val="32"/>
        </w:rPr>
        <w:t>万元，其中：一般债务限额</w:t>
      </w:r>
      <w:r>
        <w:rPr>
          <w:rFonts w:ascii="仿宋" w:hAnsi="仿宋" w:eastAsia="仿宋"/>
          <w:sz w:val="32"/>
          <w:szCs w:val="32"/>
        </w:rPr>
        <w:t>93854</w:t>
      </w:r>
      <w:r>
        <w:rPr>
          <w:rFonts w:hint="eastAsia" w:ascii="仿宋" w:hAnsi="仿宋" w:eastAsia="仿宋"/>
          <w:sz w:val="32"/>
          <w:szCs w:val="32"/>
        </w:rPr>
        <w:t>万元，专向债务限额</w:t>
      </w:r>
      <w:r>
        <w:rPr>
          <w:rFonts w:ascii="仿宋" w:hAnsi="仿宋" w:eastAsia="仿宋"/>
          <w:sz w:val="32"/>
          <w:szCs w:val="32"/>
        </w:rPr>
        <w:t>68867</w:t>
      </w:r>
      <w:r>
        <w:rPr>
          <w:rFonts w:hint="eastAsia" w:ascii="仿宋" w:hAnsi="仿宋" w:eastAsia="仿宋"/>
          <w:sz w:val="32"/>
          <w:szCs w:val="32"/>
        </w:rPr>
        <w:t>万元。</w:t>
      </w:r>
    </w:p>
    <w:p>
      <w:pPr>
        <w:spacing w:line="600" w:lineRule="exact"/>
        <w:ind w:firstLine="640" w:firstLineChars="200"/>
        <w:rPr>
          <w:rFonts w:ascii="仿宋" w:hAnsi="仿宋" w:eastAsia="仿宋"/>
          <w:sz w:val="32"/>
          <w:szCs w:val="32"/>
        </w:rPr>
      </w:pPr>
      <w:r>
        <w:rPr>
          <w:rFonts w:hint="eastAsia" w:ascii="仿宋" w:hAnsi="仿宋" w:eastAsia="仿宋"/>
          <w:sz w:val="32"/>
          <w:szCs w:val="32"/>
        </w:rPr>
        <w:t>2、2020年债务决算   截止年底，全县政府性债务余额为</w:t>
      </w:r>
      <w:r>
        <w:rPr>
          <w:rFonts w:ascii="仿宋" w:hAnsi="仿宋" w:eastAsia="仿宋"/>
          <w:sz w:val="32"/>
          <w:szCs w:val="32"/>
        </w:rPr>
        <w:t>126283.45</w:t>
      </w:r>
      <w:r>
        <w:rPr>
          <w:rFonts w:hint="eastAsia" w:ascii="仿宋" w:hAnsi="仿宋" w:eastAsia="仿宋"/>
          <w:sz w:val="32"/>
          <w:szCs w:val="32"/>
        </w:rPr>
        <w:t>万元，占我县GDP比重11.2%，在上级核定债务限额内。包括一般性政府债务</w:t>
      </w:r>
      <w:r>
        <w:rPr>
          <w:rFonts w:ascii="仿宋" w:hAnsi="仿宋" w:eastAsia="仿宋"/>
          <w:sz w:val="32"/>
          <w:szCs w:val="32"/>
        </w:rPr>
        <w:t>63991.45</w:t>
      </w:r>
      <w:r>
        <w:rPr>
          <w:rFonts w:hint="eastAsia" w:ascii="仿宋" w:hAnsi="仿宋" w:eastAsia="仿宋"/>
          <w:sz w:val="32"/>
          <w:szCs w:val="32"/>
        </w:rPr>
        <w:t>万元、专项债务</w:t>
      </w:r>
      <w:r>
        <w:rPr>
          <w:rFonts w:ascii="仿宋" w:hAnsi="仿宋" w:eastAsia="仿宋"/>
          <w:sz w:val="32"/>
          <w:szCs w:val="32"/>
        </w:rPr>
        <w:t>62292</w:t>
      </w:r>
      <w:r>
        <w:rPr>
          <w:rFonts w:hint="eastAsia" w:ascii="仿宋" w:hAnsi="仿宋" w:eastAsia="仿宋"/>
          <w:sz w:val="32"/>
          <w:szCs w:val="32"/>
        </w:rPr>
        <w:t>万元。</w:t>
      </w:r>
    </w:p>
    <w:p>
      <w:pPr>
        <w:spacing w:line="60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2020年</w:t>
      </w:r>
      <w:r>
        <w:rPr>
          <w:rFonts w:ascii="仿宋" w:hAnsi="仿宋" w:eastAsia="仿宋"/>
          <w:color w:val="000000"/>
          <w:sz w:val="32"/>
          <w:szCs w:val="32"/>
        </w:rPr>
        <w:t>争</w:t>
      </w:r>
      <w:r>
        <w:rPr>
          <w:rFonts w:hint="eastAsia" w:ascii="仿宋" w:hAnsi="仿宋" w:eastAsia="仿宋"/>
          <w:color w:val="000000"/>
          <w:sz w:val="32"/>
          <w:szCs w:val="32"/>
        </w:rPr>
        <w:t>地方</w:t>
      </w:r>
      <w:r>
        <w:rPr>
          <w:rFonts w:ascii="仿宋" w:hAnsi="仿宋" w:eastAsia="仿宋"/>
          <w:color w:val="000000"/>
          <w:sz w:val="32"/>
          <w:szCs w:val="32"/>
        </w:rPr>
        <w:t>政府债券资金</w:t>
      </w:r>
      <w:r>
        <w:rPr>
          <w:rFonts w:hint="eastAsia" w:ascii="仿宋" w:hAnsi="仿宋" w:eastAsia="仿宋"/>
          <w:color w:val="000000"/>
          <w:sz w:val="32"/>
          <w:szCs w:val="32"/>
        </w:rPr>
        <w:t>39800</w:t>
      </w:r>
      <w:r>
        <w:rPr>
          <w:rFonts w:ascii="仿宋" w:hAnsi="仿宋" w:eastAsia="仿宋"/>
          <w:color w:val="000000"/>
          <w:sz w:val="32"/>
          <w:szCs w:val="32"/>
        </w:rPr>
        <w:t>万元</w:t>
      </w:r>
      <w:r>
        <w:rPr>
          <w:rFonts w:hint="eastAsia" w:ascii="仿宋" w:hAnsi="仿宋" w:eastAsia="仿宋"/>
          <w:color w:val="000000"/>
          <w:sz w:val="32"/>
          <w:szCs w:val="32"/>
        </w:rPr>
        <w:t>，其中：</w:t>
      </w:r>
      <w:r>
        <w:rPr>
          <w:rFonts w:ascii="仿宋" w:hAnsi="仿宋" w:eastAsia="仿宋"/>
          <w:color w:val="000000"/>
          <w:sz w:val="32"/>
          <w:szCs w:val="32"/>
        </w:rPr>
        <w:t>新增一般债券</w:t>
      </w:r>
      <w:r>
        <w:rPr>
          <w:rFonts w:hint="eastAsia" w:ascii="仿宋" w:hAnsi="仿宋" w:eastAsia="仿宋"/>
          <w:color w:val="000000"/>
          <w:sz w:val="32"/>
          <w:szCs w:val="32"/>
        </w:rPr>
        <w:t>10500</w:t>
      </w:r>
      <w:r>
        <w:rPr>
          <w:rFonts w:ascii="仿宋" w:hAnsi="仿宋" w:eastAsia="仿宋"/>
          <w:color w:val="000000"/>
          <w:sz w:val="32"/>
          <w:szCs w:val="32"/>
        </w:rPr>
        <w:t>万元、专项债券</w:t>
      </w:r>
      <w:r>
        <w:rPr>
          <w:rFonts w:hint="eastAsia" w:ascii="仿宋" w:hAnsi="仿宋" w:eastAsia="仿宋"/>
          <w:color w:val="000000"/>
          <w:sz w:val="32"/>
          <w:szCs w:val="32"/>
        </w:rPr>
        <w:t>29300</w:t>
      </w:r>
      <w:r>
        <w:rPr>
          <w:rFonts w:ascii="仿宋" w:hAnsi="仿宋" w:eastAsia="仿宋"/>
          <w:color w:val="000000"/>
          <w:sz w:val="32"/>
          <w:szCs w:val="32"/>
        </w:rPr>
        <w:t>万元</w:t>
      </w:r>
      <w:r>
        <w:rPr>
          <w:rFonts w:hint="eastAsia" w:ascii="仿宋" w:hAnsi="仿宋" w:eastAsia="仿宋"/>
          <w:color w:val="000000"/>
          <w:sz w:val="32"/>
          <w:szCs w:val="32"/>
        </w:rPr>
        <w:t>，</w:t>
      </w:r>
      <w:r>
        <w:rPr>
          <w:rFonts w:ascii="仿宋" w:hAnsi="仿宋" w:eastAsia="仿宋"/>
          <w:color w:val="000000"/>
          <w:sz w:val="32"/>
          <w:szCs w:val="32"/>
        </w:rPr>
        <w:t>置换债券</w:t>
      </w:r>
      <w:r>
        <w:rPr>
          <w:rFonts w:hint="eastAsia" w:ascii="仿宋" w:hAnsi="仿宋" w:eastAsia="仿宋"/>
          <w:color w:val="000000"/>
          <w:sz w:val="32"/>
          <w:szCs w:val="32"/>
        </w:rPr>
        <w:t>0</w:t>
      </w:r>
      <w:r>
        <w:rPr>
          <w:rFonts w:ascii="仿宋" w:hAnsi="仿宋" w:eastAsia="仿宋"/>
          <w:color w:val="000000"/>
          <w:sz w:val="32"/>
          <w:szCs w:val="32"/>
        </w:rPr>
        <w:t>万元</w:t>
      </w:r>
      <w:r>
        <w:rPr>
          <w:rFonts w:hint="eastAsia" w:ascii="仿宋" w:hAnsi="仿宋" w:eastAsia="仿宋"/>
          <w:color w:val="000000"/>
          <w:sz w:val="32"/>
          <w:szCs w:val="32"/>
        </w:rPr>
        <w:t>，再融资2500万元。</w:t>
      </w:r>
      <w:r>
        <w:rPr>
          <w:rFonts w:ascii="仿宋" w:hAnsi="仿宋" w:eastAsia="仿宋"/>
          <w:color w:val="000000"/>
          <w:sz w:val="32"/>
          <w:szCs w:val="32"/>
        </w:rPr>
        <w:t>为全县经济和社会事业发展提供有力保障，有效缓解财政收支平衡和政</w:t>
      </w:r>
      <w:r>
        <w:rPr>
          <w:rFonts w:hint="eastAsia" w:ascii="仿宋" w:hAnsi="仿宋" w:eastAsia="仿宋"/>
          <w:color w:val="000000"/>
          <w:sz w:val="32"/>
          <w:szCs w:val="32"/>
        </w:rPr>
        <w:t>府偿债压力。全年</w:t>
      </w:r>
      <w:r>
        <w:rPr>
          <w:rFonts w:hint="eastAsia" w:ascii="仿宋" w:hAnsi="仿宋" w:eastAsia="仿宋"/>
          <w:sz w:val="32"/>
          <w:szCs w:val="32"/>
        </w:rPr>
        <w:t>支出39800万元，占全部新增债券资金的100%。</w:t>
      </w:r>
    </w:p>
    <w:p>
      <w:pPr>
        <w:widowControl/>
        <w:spacing w:line="600" w:lineRule="exact"/>
        <w:rPr>
          <w:rFonts w:ascii="仿宋" w:hAnsi="仿宋" w:eastAsia="仿宋" w:cs="宋体"/>
          <w:color w:val="000000"/>
          <w:kern w:val="0"/>
          <w:sz w:val="32"/>
          <w:szCs w:val="32"/>
        </w:rPr>
      </w:pPr>
      <w:r>
        <w:rPr>
          <w:rFonts w:hint="eastAsia" w:ascii="仿宋" w:hAnsi="仿宋" w:eastAsia="仿宋" w:cs="宋体"/>
          <w:color w:val="000000"/>
          <w:kern w:val="0"/>
          <w:sz w:val="32"/>
          <w:szCs w:val="32"/>
        </w:rPr>
        <w:t xml:space="preserve">   3、2020年债务还本付息安排还本付息资金8388万元，其中债券还本4400万元，偿还利息3956万元，债务发行费32万元。</w:t>
      </w:r>
    </w:p>
    <w:p>
      <w:pPr>
        <w:widowControl/>
        <w:spacing w:line="600" w:lineRule="exact"/>
        <w:rPr>
          <w:rFonts w:ascii="仿宋" w:hAnsi="仿宋" w:eastAsia="仿宋" w:cs="宋体"/>
          <w:b/>
          <w:color w:val="000000"/>
          <w:kern w:val="0"/>
          <w:sz w:val="32"/>
          <w:szCs w:val="32"/>
        </w:rPr>
      </w:pPr>
      <w:r>
        <w:rPr>
          <w:rFonts w:hint="eastAsia" w:ascii="仿宋" w:hAnsi="仿宋" w:eastAsia="仿宋" w:cs="宋体"/>
          <w:b/>
          <w:color w:val="000000"/>
          <w:kern w:val="0"/>
          <w:sz w:val="32"/>
          <w:szCs w:val="32"/>
        </w:rPr>
        <w:t xml:space="preserve">  二、2021年债务</w:t>
      </w:r>
      <w:r>
        <w:rPr>
          <w:rFonts w:hint="eastAsia" w:ascii="仿宋" w:hAnsi="仿宋" w:eastAsia="仿宋" w:cs="宋体"/>
          <w:b/>
          <w:color w:val="000000"/>
          <w:kern w:val="0"/>
          <w:sz w:val="32"/>
          <w:szCs w:val="32"/>
          <w:lang w:eastAsia="zh-CN"/>
        </w:rPr>
        <w:t>预算</w:t>
      </w:r>
      <w:r>
        <w:rPr>
          <w:rFonts w:hint="eastAsia" w:ascii="仿宋" w:hAnsi="仿宋" w:eastAsia="仿宋" w:cs="宋体"/>
          <w:b/>
          <w:color w:val="000000"/>
          <w:kern w:val="0"/>
          <w:sz w:val="32"/>
          <w:szCs w:val="32"/>
        </w:rPr>
        <w:t xml:space="preserve">    </w:t>
      </w:r>
    </w:p>
    <w:p>
      <w:pPr>
        <w:widowControl/>
        <w:spacing w:line="600" w:lineRule="exact"/>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2021年债务预计259800万元，</w:t>
      </w:r>
      <w:r>
        <w:rPr>
          <w:rFonts w:hint="eastAsia" w:ascii="仿宋" w:hAnsi="仿宋" w:eastAsia="仿宋" w:cs="宋体"/>
          <w:color w:val="000000"/>
          <w:kern w:val="0"/>
          <w:sz w:val="32"/>
          <w:szCs w:val="32"/>
          <w:lang w:eastAsia="zh-CN"/>
        </w:rPr>
        <w:t>预计争取</w:t>
      </w:r>
      <w:r>
        <w:rPr>
          <w:rFonts w:hint="eastAsia" w:ascii="仿宋" w:hAnsi="仿宋" w:eastAsia="仿宋" w:cs="宋体"/>
          <w:color w:val="000000"/>
          <w:kern w:val="0"/>
          <w:sz w:val="32"/>
          <w:szCs w:val="32"/>
        </w:rPr>
        <w:t>上级债券资金138517万元，其中：新增债券133517万元，另借新换旧再融资债券计划5000万元。主要用于：城管局、住建局等城市建设8898万元，开发区、食品城等园区建设103800万元，文化教育6000万元；卫生3519万元；农村污水处理及污水处理2300万元；农村道路交通7000万元。</w:t>
      </w:r>
    </w:p>
    <w:p>
      <w:pPr>
        <w:widowControl/>
        <w:spacing w:line="600" w:lineRule="exact"/>
        <w:ind w:firstLine="640"/>
        <w:rPr>
          <w:rFonts w:ascii="仿宋" w:hAnsi="仿宋" w:eastAsia="仿宋" w:cs="宋体"/>
          <w:color w:val="000000"/>
          <w:kern w:val="0"/>
          <w:sz w:val="32"/>
          <w:szCs w:val="32"/>
        </w:rPr>
      </w:pPr>
      <w:r>
        <w:rPr>
          <w:rFonts w:hint="eastAsia" w:ascii="仿宋" w:hAnsi="仿宋" w:eastAsia="仿宋" w:cs="宋体"/>
          <w:color w:val="000000"/>
          <w:kern w:val="0"/>
          <w:sz w:val="32"/>
          <w:szCs w:val="32"/>
        </w:rPr>
        <w:t>2021年债务还本付息全面纳入2021年政府预算管理，安排还本付息资金11872万元，其中债券还本5760万元，偿还利息及服务费6037万元，发行费75万元。</w:t>
      </w:r>
    </w:p>
    <w:p>
      <w:pPr>
        <w:widowControl/>
        <w:spacing w:line="600" w:lineRule="exact"/>
        <w:ind w:firstLine="640"/>
        <w:rPr>
          <w:rFonts w:hint="eastAsia" w:ascii="仿宋" w:hAnsi="仿宋" w:eastAsia="仿宋" w:cs="宋体"/>
          <w:color w:val="000000"/>
          <w:kern w:val="0"/>
          <w:sz w:val="32"/>
          <w:szCs w:val="32"/>
        </w:rPr>
      </w:pPr>
      <w:r>
        <w:rPr>
          <w:rFonts w:hint="eastAsia" w:ascii="仿宋" w:hAnsi="仿宋" w:eastAsia="仿宋" w:cs="宋体"/>
          <w:color w:val="000000"/>
          <w:kern w:val="0"/>
          <w:sz w:val="32"/>
          <w:szCs w:val="32"/>
        </w:rPr>
        <w:t>县本级安排还本付息预算6029万元，其中：一般预算安排2662万元（含预留300万元），政府性基金安排3366万元（含预留1200万元）。</w:t>
      </w:r>
    </w:p>
    <w:p>
      <w:pPr>
        <w:widowControl/>
        <w:spacing w:line="600" w:lineRule="exact"/>
        <w:ind w:firstLine="640"/>
        <w:rPr>
          <w:rFonts w:hint="default" w:ascii="仿宋" w:hAnsi="仿宋" w:eastAsia="仿宋" w:cs="宋体"/>
          <w:color w:val="000000"/>
          <w:kern w:val="0"/>
          <w:sz w:val="32"/>
          <w:szCs w:val="32"/>
          <w:lang w:val="en-US" w:eastAsia="zh-CN"/>
        </w:rPr>
      </w:pPr>
      <w:r>
        <w:rPr>
          <w:rFonts w:hint="eastAsia" w:ascii="仿宋" w:hAnsi="仿宋" w:eastAsia="仿宋" w:cs="宋体"/>
          <w:color w:val="000000"/>
          <w:kern w:val="0"/>
          <w:sz w:val="32"/>
          <w:szCs w:val="32"/>
          <w:lang w:eastAsia="zh-CN"/>
        </w:rPr>
        <w:t>隐性债务化解计划，</w:t>
      </w:r>
      <w:r>
        <w:rPr>
          <w:rFonts w:hint="eastAsia" w:ascii="仿宋" w:hAnsi="仿宋" w:eastAsia="仿宋" w:cs="宋体"/>
          <w:color w:val="000000"/>
          <w:kern w:val="0"/>
          <w:sz w:val="32"/>
          <w:szCs w:val="32"/>
          <w:lang w:val="en-US" w:eastAsia="zh-CN"/>
        </w:rPr>
        <w:t>按照隆尧县隐形债务化解方案隆办字【2018】46号、隆政函【2018】86号化解方案，2021年国家储备林贷款本息应化解795万元，已经纳入财政支出预算。</w:t>
      </w:r>
    </w:p>
    <w:p>
      <w:pPr>
        <w:widowControl/>
        <w:adjustRightInd w:val="0"/>
        <w:spacing w:line="580" w:lineRule="exact"/>
        <w:ind w:firstLine="640" w:firstLineChars="200"/>
        <w:jc w:val="left"/>
        <w:rPr>
          <w:rFonts w:ascii="仿宋" w:hAnsi="仿宋" w:eastAsia="仿宋" w:cs="仿宋_GB2312"/>
          <w:b/>
          <w:kern w:val="0"/>
          <w:sz w:val="32"/>
          <w:szCs w:val="32"/>
        </w:rPr>
      </w:pPr>
      <w:r>
        <w:rPr>
          <w:rFonts w:hint="eastAsia" w:ascii="仿宋" w:hAnsi="仿宋" w:eastAsia="仿宋" w:cs="宋体"/>
          <w:color w:val="000000"/>
          <w:kern w:val="0"/>
          <w:sz w:val="32"/>
          <w:szCs w:val="32"/>
        </w:rPr>
        <w:t>三、</w:t>
      </w:r>
      <w:r>
        <w:rPr>
          <w:rFonts w:hint="eastAsia" w:ascii="仿宋" w:hAnsi="仿宋" w:eastAsia="仿宋" w:cs="仿宋_GB2312"/>
          <w:b/>
          <w:kern w:val="0"/>
          <w:sz w:val="32"/>
          <w:szCs w:val="32"/>
        </w:rPr>
        <w:t>规范债务预算管理。</w:t>
      </w:r>
    </w:p>
    <w:p>
      <w:pPr>
        <w:widowControl/>
        <w:adjustRightInd w:val="0"/>
        <w:spacing w:line="580" w:lineRule="exact"/>
        <w:ind w:firstLine="640" w:firstLineChars="200"/>
        <w:jc w:val="left"/>
        <w:rPr>
          <w:rFonts w:ascii="仿宋" w:hAnsi="仿宋" w:eastAsia="仿宋" w:cs="仿宋_GB2312"/>
          <w:kern w:val="0"/>
          <w:sz w:val="32"/>
          <w:szCs w:val="32"/>
        </w:rPr>
      </w:pPr>
      <w:r>
        <w:rPr>
          <w:rFonts w:hint="eastAsia" w:ascii="仿宋" w:hAnsi="仿宋" w:eastAsia="仿宋" w:cs="仿宋_GB2312"/>
          <w:kern w:val="0"/>
          <w:sz w:val="32"/>
          <w:szCs w:val="32"/>
        </w:rPr>
        <w:t>全县政府债务余额将达25.98亿元，占GDP比重达到21.32 %，综合债务率56%，风险总体可控，但其中自求平衡专项债券项目收入存在收缴不及时风险。</w:t>
      </w:r>
    </w:p>
    <w:p>
      <w:pPr>
        <w:widowControl/>
        <w:adjustRightInd w:val="0"/>
        <w:spacing w:line="580" w:lineRule="exact"/>
        <w:ind w:firstLine="640" w:firstLineChars="200"/>
        <w:jc w:val="left"/>
        <w:rPr>
          <w:rFonts w:ascii="仿宋" w:hAnsi="仿宋" w:eastAsia="仿宋" w:cs="仿宋_GB2312"/>
          <w:kern w:val="0"/>
          <w:sz w:val="32"/>
          <w:szCs w:val="32"/>
        </w:rPr>
      </w:pPr>
      <w:r>
        <w:rPr>
          <w:rFonts w:hint="eastAsia" w:ascii="仿宋" w:hAnsi="仿宋" w:eastAsia="仿宋" w:cs="仿宋_GB2312"/>
          <w:kern w:val="0"/>
          <w:sz w:val="32"/>
          <w:szCs w:val="32"/>
        </w:rPr>
        <w:t>县委县政府印发全面加强债务管理的实施意见、防范化解隐性债务风险的实施意见等规范性文件制度，实施防风险攻坚战。各单位对照工程进度、施工合同，正确预判债务额度，科学编制2021年债务预算，尤其是自求平衡专项债券项目单位要将其收入和将还本付息支出列入预算。要加强债券资金使用管理，坚决杜绝随意调整债券资金使用方向和项目问题发生，确保债券资金落实到符合规定的具体项目，投入到最急需的领域。融资平台公司，必须严格落实国家关于规范融资平台的相关规定，坚持市场化运作，防止形成新的政府债务。在PPP项目运作中也要注意防止形成变相借债。</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D9A53BAC-829E-4386-BEA1-EAF092F3C506}"/>
  </w:font>
  <w:font w:name="Arial">
    <w:panose1 w:val="020B0604020202020204"/>
    <w:charset w:val="01"/>
    <w:family w:val="swiss"/>
    <w:pitch w:val="default"/>
    <w:sig w:usb0="E0002AFF" w:usb1="C0007843" w:usb2="00000009" w:usb3="00000000" w:csb0="400001FF" w:csb1="FFFF0000"/>
    <w:embedRegular r:id="rId2" w:fontKey="{002DC5DF-AB17-456B-8E1C-3265CE55DFE5}"/>
  </w:font>
  <w:font w:name="黑体">
    <w:panose1 w:val="02010609060101010101"/>
    <w:charset w:val="86"/>
    <w:family w:val="auto"/>
    <w:pitch w:val="default"/>
    <w:sig w:usb0="800002BF" w:usb1="38CF7CFA" w:usb2="00000016" w:usb3="00000000" w:csb0="00040001" w:csb1="00000000"/>
    <w:embedRegular r:id="rId3" w:fontKey="{3FEB137B-9FCE-41A1-A585-A6E884D59230}"/>
  </w:font>
  <w:font w:name="Courier New">
    <w:panose1 w:val="02070309020205020404"/>
    <w:charset w:val="01"/>
    <w:family w:val="modern"/>
    <w:pitch w:val="default"/>
    <w:sig w:usb0="E0002AFF" w:usb1="C0007843" w:usb2="00000009" w:usb3="00000000" w:csb0="400001FF" w:csb1="FFFF0000"/>
    <w:embedRegular r:id="rId4" w:fontKey="{4A3CB0E3-4914-47BD-9D18-9C3F78A2D8C9}"/>
  </w:font>
  <w:font w:name="Symbol">
    <w:panose1 w:val="05050102010706020507"/>
    <w:charset w:val="02"/>
    <w:family w:val="roman"/>
    <w:pitch w:val="default"/>
    <w:sig w:usb0="00000000" w:usb1="00000000" w:usb2="00000000" w:usb3="00000000" w:csb0="80000000" w:csb1="00000000"/>
    <w:embedRegular r:id="rId5" w:fontKey="{72CB2D88-D1DE-4D4A-B63F-B2A47CF85F81}"/>
  </w:font>
  <w:font w:name="Calibri">
    <w:panose1 w:val="020F0502020204030204"/>
    <w:charset w:val="00"/>
    <w:family w:val="swiss"/>
    <w:pitch w:val="default"/>
    <w:sig w:usb0="E00002FF" w:usb1="4000ACFF" w:usb2="00000001" w:usb3="00000000" w:csb0="2000019F" w:csb1="00000000"/>
    <w:embedRegular r:id="rId6" w:fontKey="{73B625DA-B7B7-44AE-8E7F-BA1161002044}"/>
  </w:font>
  <w:font w:name="Tahoma">
    <w:panose1 w:val="020B0604030504040204"/>
    <w:charset w:val="00"/>
    <w:family w:val="swiss"/>
    <w:pitch w:val="default"/>
    <w:sig w:usb0="E1002EFF" w:usb1="C000605B" w:usb2="00000029" w:usb3="00000000" w:csb0="200101FF" w:csb1="20280000"/>
    <w:embedRegular r:id="rId7" w:fontKey="{266D0216-8ECB-4656-BF37-783483479E9A}"/>
  </w:font>
  <w:font w:name="方正小标宋_GBK">
    <w:panose1 w:val="03000509000000000000"/>
    <w:charset w:val="86"/>
    <w:family w:val="script"/>
    <w:pitch w:val="default"/>
    <w:sig w:usb0="00000001" w:usb1="080E0000" w:usb2="00000000" w:usb3="00000000" w:csb0="00040000" w:csb1="00000000"/>
    <w:embedRegular r:id="rId8" w:fontKey="{02F74FD3-4EC8-4E15-ADE6-931A1735FA8E}"/>
  </w:font>
  <w:font w:name="仿宋">
    <w:panose1 w:val="02010609060101010101"/>
    <w:charset w:val="86"/>
    <w:family w:val="modern"/>
    <w:pitch w:val="default"/>
    <w:sig w:usb0="800002BF" w:usb1="38CF7CFA" w:usb2="00000016" w:usb3="00000000" w:csb0="00040001" w:csb1="00000000"/>
    <w:embedRegular r:id="rId9" w:fontKey="{905E4914-83B4-4101-A3CD-4B20C76B7CF8}"/>
  </w:font>
  <w:font w:name="仿宋_GB2312">
    <w:panose1 w:val="02010609030101010101"/>
    <w:charset w:val="86"/>
    <w:family w:val="modern"/>
    <w:pitch w:val="default"/>
    <w:sig w:usb0="00000001" w:usb1="080E0000" w:usb2="00000000" w:usb3="00000000" w:csb0="00040000" w:csb1="00000000"/>
    <w:embedRegular r:id="rId10" w:fontKey="{6CF32BB0-9FE4-4E40-AF93-9663D397AF5B}"/>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4"/>
      <w:tblW w:w="8536" w:type="dxa"/>
      <w:tblInd w:w="0" w:type="dxa"/>
      <w:tblBorders>
        <w:top w:val="none" w:color="auto" w:sz="0" w:space="0"/>
        <w:left w:val="none" w:color="auto" w:sz="0" w:space="0"/>
        <w:bottom w:val="none" w:color="auto" w:sz="0" w:space="0"/>
        <w:right w:val="none" w:color="auto" w:sz="0" w:space="0"/>
        <w:insideH w:val="none" w:color="auto" w:sz="0" w:space="0"/>
        <w:insideV w:val="single" w:color="4F81BD" w:themeColor="accent1" w:sz="18" w:space="0"/>
      </w:tblBorders>
      <w:tblLayout w:type="fixed"/>
      <w:tblCellMar>
        <w:top w:w="58" w:type="dxa"/>
        <w:left w:w="115" w:type="dxa"/>
        <w:bottom w:w="58" w:type="dxa"/>
        <w:right w:w="115" w:type="dxa"/>
      </w:tblCellMar>
    </w:tblPr>
    <w:tblGrid>
      <w:gridCol w:w="1280"/>
      <w:gridCol w:w="7256"/>
    </w:tblGrid>
    <w:tr>
      <w:tblPrEx>
        <w:tblBorders>
          <w:top w:val="none" w:color="auto" w:sz="0" w:space="0"/>
          <w:left w:val="none" w:color="auto" w:sz="0" w:space="0"/>
          <w:bottom w:val="none" w:color="auto" w:sz="0" w:space="0"/>
          <w:right w:val="none" w:color="auto" w:sz="0" w:space="0"/>
          <w:insideH w:val="none" w:color="auto" w:sz="0" w:space="0"/>
          <w:insideV w:val="single" w:color="4F81BD" w:themeColor="accent1" w:sz="18" w:space="0"/>
        </w:tblBorders>
        <w:tblCellMar>
          <w:top w:w="58" w:type="dxa"/>
          <w:left w:w="115" w:type="dxa"/>
          <w:bottom w:w="58" w:type="dxa"/>
          <w:right w:w="115" w:type="dxa"/>
        </w:tblCellMar>
      </w:tblPrEx>
      <w:tc>
        <w:tcPr>
          <w:tcW w:w="1280" w:type="dxa"/>
        </w:tcPr>
        <w:p>
          <w:pPr>
            <w:pStyle w:val="2"/>
            <w:jc w:val="right"/>
            <w:rPr>
              <w:color w:val="4F81BD" w:themeColor="accent1"/>
            </w:rPr>
          </w:pPr>
          <w:r>
            <w:fldChar w:fldCharType="begin"/>
          </w:r>
          <w:r>
            <w:instrText xml:space="preserve"> PAGE   \* MERGEFORMAT </w:instrText>
          </w:r>
          <w:r>
            <w:fldChar w:fldCharType="separate"/>
          </w:r>
          <w:r>
            <w:rPr>
              <w:color w:val="4F81BD" w:themeColor="accent1"/>
              <w:lang w:val="zh-CN"/>
            </w:rPr>
            <w:t>2</w:t>
          </w:r>
          <w:r>
            <w:rPr>
              <w:color w:val="4F81BD" w:themeColor="accent1"/>
              <w:lang w:val="zh-CN"/>
            </w:rPr>
            <w:fldChar w:fldCharType="end"/>
          </w:r>
        </w:p>
      </w:tc>
      <w:tc>
        <w:tcPr>
          <w:tcW w:w="7256" w:type="dxa"/>
        </w:tcPr>
        <w:p>
          <w:pPr>
            <w:pStyle w:val="2"/>
            <w:rPr>
              <w:color w:val="4F81BD" w:themeColor="accent1"/>
            </w:rPr>
          </w:pPr>
        </w:p>
      </w:tc>
    </w:tr>
  </w:tbl>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bordersDoNotSurroundHeader w:val="1"/>
  <w:bordersDoNotSurroundFooter w:val="1"/>
  <w:documentProtection w:edit="readOnly" w:enforcement="1" w:cryptProviderType="rsaFull" w:cryptAlgorithmClass="hash" w:cryptAlgorithmType="typeAny" w:cryptAlgorithmSid="4" w:cryptSpinCount="0" w:hash="Z1VMm3ezBnJ0jm1gvtuOtiKew/w=" w:salt="jhfzjhXYnmctXiqqzUKt+A=="/>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B107E0"/>
    <w:rsid w:val="0002173E"/>
    <w:rsid w:val="000444CD"/>
    <w:rsid w:val="0005424D"/>
    <w:rsid w:val="000637A0"/>
    <w:rsid w:val="000871E8"/>
    <w:rsid w:val="000A7D58"/>
    <w:rsid w:val="000B766B"/>
    <w:rsid w:val="000D00D8"/>
    <w:rsid w:val="000E60BB"/>
    <w:rsid w:val="00130455"/>
    <w:rsid w:val="001468AD"/>
    <w:rsid w:val="00152BF7"/>
    <w:rsid w:val="00154420"/>
    <w:rsid w:val="001847CE"/>
    <w:rsid w:val="00196D35"/>
    <w:rsid w:val="001B02F4"/>
    <w:rsid w:val="001D2FD1"/>
    <w:rsid w:val="001F4AB9"/>
    <w:rsid w:val="0020459B"/>
    <w:rsid w:val="00295CFA"/>
    <w:rsid w:val="002C1023"/>
    <w:rsid w:val="002F20ED"/>
    <w:rsid w:val="00304E1C"/>
    <w:rsid w:val="00326759"/>
    <w:rsid w:val="00347054"/>
    <w:rsid w:val="003665F6"/>
    <w:rsid w:val="0036796C"/>
    <w:rsid w:val="00380E55"/>
    <w:rsid w:val="003E1F5D"/>
    <w:rsid w:val="00400E16"/>
    <w:rsid w:val="00406CF1"/>
    <w:rsid w:val="004A5D02"/>
    <w:rsid w:val="004B315A"/>
    <w:rsid w:val="004D1EB6"/>
    <w:rsid w:val="004D4FA7"/>
    <w:rsid w:val="004F5415"/>
    <w:rsid w:val="005872B7"/>
    <w:rsid w:val="005B228C"/>
    <w:rsid w:val="005B428A"/>
    <w:rsid w:val="005C7E54"/>
    <w:rsid w:val="005D765A"/>
    <w:rsid w:val="005E3ED0"/>
    <w:rsid w:val="006677A3"/>
    <w:rsid w:val="006A1A21"/>
    <w:rsid w:val="006B0855"/>
    <w:rsid w:val="006B4CD6"/>
    <w:rsid w:val="006C368D"/>
    <w:rsid w:val="006E75AA"/>
    <w:rsid w:val="006F136D"/>
    <w:rsid w:val="006F5CDD"/>
    <w:rsid w:val="006F63DB"/>
    <w:rsid w:val="007120BF"/>
    <w:rsid w:val="00724A4E"/>
    <w:rsid w:val="00743ACA"/>
    <w:rsid w:val="00752A42"/>
    <w:rsid w:val="00752EDD"/>
    <w:rsid w:val="00775958"/>
    <w:rsid w:val="007814E7"/>
    <w:rsid w:val="007A5EAB"/>
    <w:rsid w:val="0081181E"/>
    <w:rsid w:val="008158D3"/>
    <w:rsid w:val="00833B0F"/>
    <w:rsid w:val="00841A62"/>
    <w:rsid w:val="00862A25"/>
    <w:rsid w:val="00864F6D"/>
    <w:rsid w:val="00876B9E"/>
    <w:rsid w:val="008957EB"/>
    <w:rsid w:val="008A3065"/>
    <w:rsid w:val="008A5BC4"/>
    <w:rsid w:val="008E3C9A"/>
    <w:rsid w:val="00912E0B"/>
    <w:rsid w:val="00932B2F"/>
    <w:rsid w:val="00942F9C"/>
    <w:rsid w:val="00957768"/>
    <w:rsid w:val="00991D0A"/>
    <w:rsid w:val="009F5E09"/>
    <w:rsid w:val="00A537D5"/>
    <w:rsid w:val="00A5546F"/>
    <w:rsid w:val="00A85D39"/>
    <w:rsid w:val="00A87FBF"/>
    <w:rsid w:val="00A92FB4"/>
    <w:rsid w:val="00A95143"/>
    <w:rsid w:val="00AA5900"/>
    <w:rsid w:val="00AE2545"/>
    <w:rsid w:val="00B107E0"/>
    <w:rsid w:val="00B23D63"/>
    <w:rsid w:val="00B450D5"/>
    <w:rsid w:val="00B52A04"/>
    <w:rsid w:val="00B83E43"/>
    <w:rsid w:val="00B852A1"/>
    <w:rsid w:val="00BB74E8"/>
    <w:rsid w:val="00BF4AA6"/>
    <w:rsid w:val="00C12E14"/>
    <w:rsid w:val="00C221A8"/>
    <w:rsid w:val="00C53D4A"/>
    <w:rsid w:val="00C616C0"/>
    <w:rsid w:val="00CA579C"/>
    <w:rsid w:val="00CC0185"/>
    <w:rsid w:val="00D115A1"/>
    <w:rsid w:val="00D33C87"/>
    <w:rsid w:val="00D77E5E"/>
    <w:rsid w:val="00D83E64"/>
    <w:rsid w:val="00D929C0"/>
    <w:rsid w:val="00DA3ADB"/>
    <w:rsid w:val="00DA4F95"/>
    <w:rsid w:val="00DB26F9"/>
    <w:rsid w:val="00E0531E"/>
    <w:rsid w:val="00E06E15"/>
    <w:rsid w:val="00E14D7E"/>
    <w:rsid w:val="00E31C4F"/>
    <w:rsid w:val="00E53C5D"/>
    <w:rsid w:val="00E577B6"/>
    <w:rsid w:val="00E954AD"/>
    <w:rsid w:val="00E973E0"/>
    <w:rsid w:val="00EA5AA9"/>
    <w:rsid w:val="00EC45B9"/>
    <w:rsid w:val="00EF6EBB"/>
    <w:rsid w:val="00F07274"/>
    <w:rsid w:val="00F20C1E"/>
    <w:rsid w:val="00F9441E"/>
    <w:rsid w:val="0290215F"/>
    <w:rsid w:val="0B4546AC"/>
    <w:rsid w:val="0DD14B9A"/>
    <w:rsid w:val="26A91FFF"/>
    <w:rsid w:val="28CD79AA"/>
    <w:rsid w:val="2AFB00AB"/>
    <w:rsid w:val="4FB04BEE"/>
    <w:rsid w:val="5B5D410C"/>
    <w:rsid w:val="695A19B7"/>
    <w:rsid w:val="6E3B76EC"/>
    <w:rsid w:val="7CD26BE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3">
    <w:name w:val="header"/>
    <w:basedOn w:val="1"/>
    <w:link w:val="6"/>
    <w:semiHidden/>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character" w:customStyle="1" w:styleId="6">
    <w:name w:val="页眉 Char"/>
    <w:basedOn w:val="5"/>
    <w:link w:val="3"/>
    <w:semiHidden/>
    <w:qFormat/>
    <w:uiPriority w:val="99"/>
    <w:rPr>
      <w:sz w:val="18"/>
      <w:szCs w:val="18"/>
    </w:rPr>
  </w:style>
  <w:style w:type="character" w:customStyle="1" w:styleId="7">
    <w:name w:val="页脚 Char"/>
    <w:basedOn w:val="5"/>
    <w:link w:val="2"/>
    <w:qFormat/>
    <w:uiPriority w:val="99"/>
    <w:rPr>
      <w:sz w:val="18"/>
      <w:szCs w:val="18"/>
    </w:rPr>
  </w:style>
  <w:style w:type="paragraph" w:customStyle="1" w:styleId="8">
    <w:name w:val="Char"/>
    <w:basedOn w:val="1"/>
    <w:qFormat/>
    <w:uiPriority w:val="0"/>
    <w:pPr>
      <w:spacing w:line="360" w:lineRule="auto"/>
    </w:pPr>
    <w:rPr>
      <w:rFonts w:ascii="Tahoma" w:hAnsi="Tahoma"/>
      <w:sz w:val="24"/>
      <w:szCs w:val="20"/>
    </w:rPr>
  </w:style>
  <w:style w:type="paragraph" w:customStyle="1" w:styleId="9">
    <w:name w:val="Char1"/>
    <w:basedOn w:val="1"/>
    <w:qFormat/>
    <w:uiPriority w:val="0"/>
    <w:pPr>
      <w:spacing w:line="360" w:lineRule="auto"/>
    </w:pPr>
    <w:rPr>
      <w:rFonts w:ascii="Tahoma" w:hAnsi="Tahoma"/>
      <w:sz w:val="24"/>
      <w:szCs w:val="2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169</Words>
  <Characters>966</Characters>
  <Lines>8</Lines>
  <Paragraphs>2</Paragraphs>
  <TotalTime>1</TotalTime>
  <ScaleCrop>false</ScaleCrop>
  <LinksUpToDate>false</LinksUpToDate>
  <CharactersWithSpaces>1133</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2017-03-13T03:17:00Z</dcterms:created>
  <dc:creator>[预算股][吴立杰]</dc:creator>
  <cp:lastModifiedBy>葱葱</cp:lastModifiedBy>
  <cp:lastPrinted>2020-01-20T03:48:00Z</cp:lastPrinted>
  <dcterms:modified xsi:type="dcterms:W3CDTF">2021-03-09T02:30:12Z</dcterms:modified>
  <cp:revision>68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y fmtid="{D5CDD505-2E9C-101B-9397-08002B2CF9AE}" pid="3" name="KSOSaveFontToCloudKey">
    <vt:lpwstr>443063933_embed</vt:lpwstr>
  </property>
</Properties>
</file>