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80" w:lineRule="atLeast"/>
        <w:ind w:firstLine="640"/>
        <w:jc w:val="center"/>
        <w:rPr>
          <w:rFonts w:hint="eastAsia" w:ascii="黑体" w:hAnsi="黑体" w:eastAsia="黑体" w:cs="宋体"/>
          <w:kern w:val="0"/>
          <w:sz w:val="44"/>
          <w:szCs w:val="44"/>
        </w:rPr>
      </w:pPr>
      <w:r>
        <w:rPr>
          <w:rFonts w:hint="eastAsia" w:ascii="黑体" w:hAnsi="黑体" w:eastAsia="黑体" w:cs="宋体"/>
          <w:kern w:val="0"/>
          <w:sz w:val="44"/>
          <w:szCs w:val="44"/>
        </w:rPr>
        <w:t>隆尧县20</w:t>
      </w:r>
      <w:r>
        <w:rPr>
          <w:rFonts w:hint="eastAsia" w:ascii="黑体" w:hAnsi="黑体" w:eastAsia="黑体" w:cs="宋体"/>
          <w:kern w:val="0"/>
          <w:sz w:val="44"/>
          <w:szCs w:val="44"/>
          <w:lang w:val="en-US" w:eastAsia="zh-CN"/>
        </w:rPr>
        <w:t>21</w:t>
      </w:r>
      <w:r>
        <w:rPr>
          <w:rFonts w:hint="eastAsia" w:ascii="黑体" w:hAnsi="黑体" w:eastAsia="黑体" w:cs="宋体"/>
          <w:kern w:val="0"/>
          <w:sz w:val="44"/>
          <w:szCs w:val="44"/>
        </w:rPr>
        <w:t>年转移支付预算公开事项</w:t>
      </w:r>
    </w:p>
    <w:p>
      <w:pPr>
        <w:widowControl/>
        <w:spacing w:line="580" w:lineRule="atLeast"/>
        <w:ind w:firstLine="640"/>
        <w:jc w:val="center"/>
        <w:rPr>
          <w:rFonts w:ascii="黑体" w:hAnsi="黑体" w:eastAsia="黑体" w:cs="宋体"/>
          <w:kern w:val="0"/>
          <w:sz w:val="44"/>
          <w:szCs w:val="44"/>
        </w:rPr>
      </w:pPr>
      <w:r>
        <w:rPr>
          <w:rFonts w:hint="eastAsia" w:ascii="黑体" w:hAnsi="黑体" w:eastAsia="黑体" w:cs="宋体"/>
          <w:kern w:val="0"/>
          <w:sz w:val="44"/>
          <w:szCs w:val="44"/>
        </w:rPr>
        <w:t>说明</w:t>
      </w:r>
    </w:p>
    <w:p>
      <w:pPr>
        <w:widowControl/>
        <w:spacing w:line="580" w:lineRule="atLeast"/>
        <w:ind w:firstLine="640"/>
        <w:jc w:val="left"/>
        <w:rPr>
          <w:rFonts w:hint="default" w:ascii="宋体" w:hAnsi="宋体" w:eastAsia="宋体" w:cs="宋体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kern w:val="0"/>
          <w:sz w:val="32"/>
          <w:szCs w:val="32"/>
        </w:rPr>
        <w:t xml:space="preserve">                 20</w:t>
      </w:r>
      <w:r>
        <w:rPr>
          <w:rFonts w:hint="eastAsia" w:ascii="宋体" w:hAnsi="宋体" w:cs="宋体"/>
          <w:kern w:val="0"/>
          <w:sz w:val="32"/>
          <w:szCs w:val="32"/>
          <w:lang w:val="en-US" w:eastAsia="zh-CN"/>
        </w:rPr>
        <w:t>21</w:t>
      </w:r>
      <w:r>
        <w:rPr>
          <w:rFonts w:hint="eastAsia" w:ascii="宋体" w:hAnsi="宋体" w:cs="宋体"/>
          <w:kern w:val="0"/>
          <w:sz w:val="32"/>
          <w:szCs w:val="32"/>
        </w:rPr>
        <w:t>.</w:t>
      </w:r>
      <w:r>
        <w:rPr>
          <w:rFonts w:hint="eastAsia" w:ascii="宋体" w:hAnsi="宋体" w:cs="宋体"/>
          <w:kern w:val="0"/>
          <w:sz w:val="32"/>
          <w:szCs w:val="32"/>
          <w:lang w:val="en-US" w:eastAsia="zh-CN"/>
        </w:rPr>
        <w:t>2</w:t>
      </w:r>
      <w:r>
        <w:rPr>
          <w:rFonts w:hint="eastAsia" w:ascii="宋体" w:hAnsi="宋体" w:cs="宋体"/>
          <w:kern w:val="0"/>
          <w:sz w:val="32"/>
          <w:szCs w:val="32"/>
        </w:rPr>
        <w:t>.</w:t>
      </w:r>
      <w:r>
        <w:rPr>
          <w:rFonts w:hint="eastAsia" w:ascii="宋体" w:hAnsi="宋体" w:cs="宋体"/>
          <w:kern w:val="0"/>
          <w:sz w:val="32"/>
          <w:szCs w:val="32"/>
          <w:lang w:val="en-US" w:eastAsia="zh-CN"/>
        </w:rPr>
        <w:t>21</w:t>
      </w:r>
    </w:p>
    <w:p>
      <w:pPr>
        <w:widowControl/>
        <w:spacing w:line="580" w:lineRule="atLeast"/>
        <w:ind w:firstLine="640"/>
        <w:jc w:val="left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根据河北省预算公开操作规程,现对20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 w:cs="宋体"/>
          <w:kern w:val="0"/>
          <w:sz w:val="32"/>
          <w:szCs w:val="32"/>
        </w:rPr>
        <w:t>年总预算公开转移支付资金事项作补充说明:</w:t>
      </w:r>
    </w:p>
    <w:p>
      <w:pPr>
        <w:widowControl/>
        <w:spacing w:line="580" w:lineRule="atLeast"/>
        <w:jc w:val="left"/>
        <w:rPr>
          <w:rFonts w:hint="eastAsia" w:ascii="宋体" w:hAnsi="宋体" w:cs="宋体"/>
          <w:b/>
          <w:kern w:val="0"/>
          <w:sz w:val="32"/>
          <w:szCs w:val="32"/>
        </w:rPr>
      </w:pPr>
      <w:r>
        <w:rPr>
          <w:rFonts w:hint="eastAsia" w:ascii="宋体" w:hAnsi="宋体" w:cs="宋体"/>
          <w:kern w:val="0"/>
          <w:sz w:val="32"/>
          <w:szCs w:val="32"/>
        </w:rPr>
        <w:t xml:space="preserve">    </w:t>
      </w:r>
      <w:r>
        <w:rPr>
          <w:rFonts w:hint="eastAsia" w:ascii="宋体" w:hAnsi="宋体" w:cs="宋体"/>
          <w:b/>
          <w:kern w:val="0"/>
          <w:sz w:val="32"/>
          <w:szCs w:val="32"/>
        </w:rPr>
        <w:t>一、20</w:t>
      </w:r>
      <w:r>
        <w:rPr>
          <w:rFonts w:hint="eastAsia" w:ascii="宋体" w:hAnsi="宋体" w:cs="宋体"/>
          <w:b/>
          <w:kern w:val="0"/>
          <w:sz w:val="32"/>
          <w:szCs w:val="32"/>
          <w:lang w:val="en-US" w:eastAsia="zh-CN"/>
        </w:rPr>
        <w:t>21</w:t>
      </w:r>
      <w:r>
        <w:rPr>
          <w:rFonts w:hint="eastAsia" w:ascii="宋体" w:hAnsi="宋体" w:cs="宋体"/>
          <w:b/>
          <w:kern w:val="0"/>
          <w:sz w:val="32"/>
          <w:szCs w:val="32"/>
        </w:rPr>
        <w:t>年转移支付补助预算</w:t>
      </w:r>
    </w:p>
    <w:p>
      <w:pPr>
        <w:widowControl/>
        <w:spacing w:line="580" w:lineRule="atLeast"/>
        <w:jc w:val="left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宋体" w:hAnsi="宋体" w:cs="宋体"/>
          <w:kern w:val="0"/>
          <w:sz w:val="32"/>
          <w:szCs w:val="32"/>
        </w:rPr>
        <w:t xml:space="preserve">    </w:t>
      </w:r>
      <w:r>
        <w:rPr>
          <w:rFonts w:hint="eastAsia" w:ascii="仿宋" w:hAnsi="仿宋" w:eastAsia="仿宋" w:cs="宋体"/>
          <w:kern w:val="0"/>
          <w:sz w:val="32"/>
          <w:szCs w:val="32"/>
        </w:rPr>
        <w:t>20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 w:cs="宋体"/>
          <w:kern w:val="0"/>
          <w:sz w:val="32"/>
          <w:szCs w:val="32"/>
        </w:rPr>
        <w:t>年中央省下达我县提前转移支付补助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收入预计</w:t>
      </w:r>
      <w:bookmarkStart w:id="0" w:name="_GoBack"/>
      <w:bookmarkEnd w:id="0"/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120909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万元，较上年决算（预计数）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197246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万元，减少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38627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万元，年度预算执行中还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将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不断追补。</w:t>
      </w:r>
    </w:p>
    <w:p>
      <w:pPr>
        <w:spacing w:line="600" w:lineRule="exact"/>
        <w:ind w:firstLine="64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税收返还收入预计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2811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万元，较上年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持平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。</w:t>
      </w:r>
    </w:p>
    <w:p>
      <w:pPr>
        <w:spacing w:line="600" w:lineRule="exact"/>
        <w:ind w:firstLine="640"/>
        <w:rPr>
          <w:rFonts w:hint="default" w:ascii="仿宋" w:hAnsi="仿宋" w:eastAsia="仿宋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一般性转移支付补助收入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110790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万元，较上年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175886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万元减少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65096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万元。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主要去年中央增加了一次性转移支付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31200万元。</w:t>
      </w:r>
    </w:p>
    <w:p>
      <w:pPr>
        <w:spacing w:line="600" w:lineRule="exact"/>
        <w:ind w:firstLine="64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财力性转移支付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53617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万元，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其中：均衡性财力补助22830万元，县级财力性补助12595万元，产粮大县补助4612万元，固定基数补助11044万元，其他财力性转移支付2536万元。</w:t>
      </w:r>
    </w:p>
    <w:p>
      <w:pPr>
        <w:spacing w:line="600" w:lineRule="exact"/>
        <w:ind w:firstLine="64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项性转移57173万元，其中：支付安排教育10999万元，卫生5048万元，社保20708万元，农林水16052万元，公检法1577万元，文化395万元，革命老区1024万元，一般公共服务16万元，交通772万元，住房493万元，灾害防治89万元。</w:t>
      </w:r>
    </w:p>
    <w:p>
      <w:pPr>
        <w:numPr>
          <w:ilvl w:val="0"/>
          <w:numId w:val="1"/>
        </w:numPr>
        <w:spacing w:line="600" w:lineRule="exact"/>
        <w:ind w:firstLine="64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专项转移支付补助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7175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万元，较上年决算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14557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万元减少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7382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万元。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其中：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卫生38万元，社保20708万元，农林水1268万元，资源勘探494万元，文化12万元。</w:t>
      </w:r>
    </w:p>
    <w:p>
      <w:pPr>
        <w:numPr>
          <w:ilvl w:val="0"/>
          <w:numId w:val="1"/>
        </w:numPr>
        <w:spacing w:line="600" w:lineRule="exact"/>
        <w:ind w:firstLine="64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市级专项转移支付133万元。</w:t>
      </w:r>
    </w:p>
    <w:p>
      <w:pPr>
        <w:widowControl/>
        <w:adjustRightInd w:val="0"/>
        <w:spacing w:line="580" w:lineRule="exact"/>
        <w:ind w:firstLine="643" w:firstLineChars="200"/>
        <w:jc w:val="left"/>
        <w:rPr>
          <w:rFonts w:hint="eastAsia" w:ascii="仿宋" w:hAnsi="仿宋" w:eastAsia="仿宋" w:cs="宋体"/>
          <w:b/>
          <w:sz w:val="32"/>
          <w:szCs w:val="32"/>
        </w:rPr>
      </w:pPr>
      <w:r>
        <w:rPr>
          <w:rFonts w:hint="eastAsia" w:ascii="仿宋" w:hAnsi="仿宋" w:eastAsia="仿宋" w:cs="宋体"/>
          <w:b/>
          <w:sz w:val="32"/>
          <w:szCs w:val="32"/>
        </w:rPr>
        <w:t>二、转移支付资金管理</w:t>
      </w:r>
    </w:p>
    <w:p>
      <w:pPr>
        <w:widowControl/>
        <w:adjustRightInd w:val="0"/>
        <w:spacing w:line="580" w:lineRule="exact"/>
        <w:ind w:firstLine="640" w:firstLineChars="200"/>
        <w:jc w:val="left"/>
        <w:rPr>
          <w:rFonts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严格按时限下达转移支付。按照预算法要求，省、市本级安排的一般性转移支付应在人大批准预算后30日内下达，专项转移支付应在60日内下达；省级接到中央一般性转移支付和专项转移支付后，在30日内正式下达到县级。各有关部门要进一步提高重视程度，切实履行好预算执行主体责任，确保每一笔资金按法定时限分配下达。县财政局将实行中央转移支付下达通知单制度，及时以书面形式通知部门按时分配下达相关资金，必须在规定时限内，把资金分配和拨付到具体单位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4"/>
      <w:tblW w:w="8536" w:type="dxa"/>
      <w:tblInd w:w="0" w:type="dxa"/>
      <w:tbl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insideH w:val="none" w:color="auto" w:sz="0" w:space="0"/>
        <w:insideV w:val="single" w:color="4F81BD" w:themeColor="accent1" w:sz="18" w:space="0"/>
      </w:tblBorders>
      <w:tblLayout w:type="fixed"/>
      <w:tblCellMar>
        <w:top w:w="58" w:type="dxa"/>
        <w:left w:w="115" w:type="dxa"/>
        <w:bottom w:w="58" w:type="dxa"/>
        <w:right w:w="115" w:type="dxa"/>
      </w:tblCellMar>
    </w:tblPr>
    <w:tblGrid>
      <w:gridCol w:w="1280"/>
      <w:gridCol w:w="7256"/>
    </w:tblGrid>
    <w:tr>
      <w:tblPrEx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single" w:color="4F81BD" w:themeColor="accent1" w:sz="18" w:space="0"/>
        </w:tblBorders>
        <w:tblCellMar>
          <w:top w:w="58" w:type="dxa"/>
          <w:left w:w="115" w:type="dxa"/>
          <w:bottom w:w="58" w:type="dxa"/>
          <w:right w:w="115" w:type="dxa"/>
        </w:tblCellMar>
      </w:tblPrEx>
      <w:tc>
        <w:tcPr>
          <w:tcW w:w="1280" w:type="dxa"/>
        </w:tcPr>
        <w:p>
          <w:pPr>
            <w:pStyle w:val="2"/>
            <w:jc w:val="right"/>
            <w:rPr>
              <w:color w:val="4F81BD" w:themeColor="accent1"/>
            </w:rPr>
          </w:pP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rPr>
              <w:color w:val="4F81BD" w:themeColor="accent1"/>
              <w:lang w:val="zh-CN"/>
            </w:rPr>
            <w:t>1</w:t>
          </w:r>
          <w:r>
            <w:rPr>
              <w:color w:val="4F81BD" w:themeColor="accent1"/>
              <w:lang w:val="zh-CN"/>
            </w:rPr>
            <w:fldChar w:fldCharType="end"/>
          </w:r>
        </w:p>
      </w:tc>
      <w:tc>
        <w:tcPr>
          <w:tcW w:w="7256" w:type="dxa"/>
        </w:tcPr>
        <w:p>
          <w:pPr>
            <w:pStyle w:val="2"/>
            <w:rPr>
              <w:color w:val="4F81BD" w:themeColor="accent1"/>
            </w:rPr>
          </w:pPr>
        </w:p>
      </w:tc>
    </w:tr>
  </w:tbl>
  <w:p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3DF599"/>
    <w:multiLevelType w:val="singleLevel"/>
    <w:tmpl w:val="553DF599"/>
    <w:lvl w:ilvl="0" w:tentative="0">
      <w:start w:val="3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dit="readOnly" w:enforcement="1" w:cryptProviderType="rsaFull" w:cryptAlgorithmClass="hash" w:cryptAlgorithmType="typeAny" w:cryptAlgorithmSid="4" w:cryptSpinCount="0" w:hash="gXwzzdCO3pyMCtdifXRH/9c/Fjg=" w:salt="La3EjquJsJPnxMe0iBD8wg==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107E0"/>
    <w:rsid w:val="0002173E"/>
    <w:rsid w:val="000444CD"/>
    <w:rsid w:val="0005424D"/>
    <w:rsid w:val="000637A0"/>
    <w:rsid w:val="000871E8"/>
    <w:rsid w:val="000A7D58"/>
    <w:rsid w:val="000B766B"/>
    <w:rsid w:val="000D00D8"/>
    <w:rsid w:val="000E60BB"/>
    <w:rsid w:val="00130455"/>
    <w:rsid w:val="001468AD"/>
    <w:rsid w:val="00152BF7"/>
    <w:rsid w:val="00154420"/>
    <w:rsid w:val="001847CE"/>
    <w:rsid w:val="00196D35"/>
    <w:rsid w:val="001D2FD1"/>
    <w:rsid w:val="001F4AB9"/>
    <w:rsid w:val="0020459B"/>
    <w:rsid w:val="00295CFA"/>
    <w:rsid w:val="002C1023"/>
    <w:rsid w:val="002F20ED"/>
    <w:rsid w:val="00304E1C"/>
    <w:rsid w:val="00326759"/>
    <w:rsid w:val="00347054"/>
    <w:rsid w:val="003665F6"/>
    <w:rsid w:val="0036796C"/>
    <w:rsid w:val="00380E55"/>
    <w:rsid w:val="003E1F5D"/>
    <w:rsid w:val="00400E16"/>
    <w:rsid w:val="00406CF1"/>
    <w:rsid w:val="004A5D02"/>
    <w:rsid w:val="004B315A"/>
    <w:rsid w:val="004D1EB6"/>
    <w:rsid w:val="004D4FA7"/>
    <w:rsid w:val="004F5415"/>
    <w:rsid w:val="005872B7"/>
    <w:rsid w:val="005B428A"/>
    <w:rsid w:val="005C7E54"/>
    <w:rsid w:val="005D765A"/>
    <w:rsid w:val="005E3ED0"/>
    <w:rsid w:val="006677A3"/>
    <w:rsid w:val="006B0855"/>
    <w:rsid w:val="006B4CD6"/>
    <w:rsid w:val="006C368D"/>
    <w:rsid w:val="006E75AA"/>
    <w:rsid w:val="006F136D"/>
    <w:rsid w:val="006F5CDD"/>
    <w:rsid w:val="006F63DB"/>
    <w:rsid w:val="007120BF"/>
    <w:rsid w:val="00724A4E"/>
    <w:rsid w:val="00743ACA"/>
    <w:rsid w:val="00752A42"/>
    <w:rsid w:val="00775958"/>
    <w:rsid w:val="007814E7"/>
    <w:rsid w:val="0081181E"/>
    <w:rsid w:val="008158D3"/>
    <w:rsid w:val="00833B0F"/>
    <w:rsid w:val="00841A62"/>
    <w:rsid w:val="00862A25"/>
    <w:rsid w:val="00864F6D"/>
    <w:rsid w:val="00876B9E"/>
    <w:rsid w:val="008957EB"/>
    <w:rsid w:val="008A3065"/>
    <w:rsid w:val="008A5BC4"/>
    <w:rsid w:val="008A7582"/>
    <w:rsid w:val="00932B2F"/>
    <w:rsid w:val="00942F9C"/>
    <w:rsid w:val="00957768"/>
    <w:rsid w:val="00991D0A"/>
    <w:rsid w:val="009F5E09"/>
    <w:rsid w:val="00A537D5"/>
    <w:rsid w:val="00A5546F"/>
    <w:rsid w:val="00A92FB4"/>
    <w:rsid w:val="00A95143"/>
    <w:rsid w:val="00AA5900"/>
    <w:rsid w:val="00AE2545"/>
    <w:rsid w:val="00B107E0"/>
    <w:rsid w:val="00B23D63"/>
    <w:rsid w:val="00B450D5"/>
    <w:rsid w:val="00B83E43"/>
    <w:rsid w:val="00B852A1"/>
    <w:rsid w:val="00BB74E8"/>
    <w:rsid w:val="00BF4AA6"/>
    <w:rsid w:val="00C12E14"/>
    <w:rsid w:val="00C221A8"/>
    <w:rsid w:val="00C53D4A"/>
    <w:rsid w:val="00C616C0"/>
    <w:rsid w:val="00CC0185"/>
    <w:rsid w:val="00D115A1"/>
    <w:rsid w:val="00D33C87"/>
    <w:rsid w:val="00D47F12"/>
    <w:rsid w:val="00D77E5E"/>
    <w:rsid w:val="00D83E64"/>
    <w:rsid w:val="00D929C0"/>
    <w:rsid w:val="00DA3ADB"/>
    <w:rsid w:val="00DB26F9"/>
    <w:rsid w:val="00E0531E"/>
    <w:rsid w:val="00E06E15"/>
    <w:rsid w:val="00E14D7E"/>
    <w:rsid w:val="00E31C4F"/>
    <w:rsid w:val="00E37520"/>
    <w:rsid w:val="00E53C5D"/>
    <w:rsid w:val="00E577B6"/>
    <w:rsid w:val="00E954AD"/>
    <w:rsid w:val="00E973E0"/>
    <w:rsid w:val="00EA5AA9"/>
    <w:rsid w:val="00EF6EBB"/>
    <w:rsid w:val="00F07274"/>
    <w:rsid w:val="00F20C1E"/>
    <w:rsid w:val="00F9441E"/>
    <w:rsid w:val="0265055F"/>
    <w:rsid w:val="02FA4AD0"/>
    <w:rsid w:val="0F244703"/>
    <w:rsid w:val="109360F0"/>
    <w:rsid w:val="20AC45AF"/>
    <w:rsid w:val="5F7C7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Char"/>
    <w:basedOn w:val="1"/>
    <w:qFormat/>
    <w:uiPriority w:val="0"/>
    <w:pPr>
      <w:spacing w:line="360" w:lineRule="auto"/>
    </w:pPr>
    <w:rPr>
      <w:rFonts w:ascii="Tahoma" w:hAnsi="Tahoma"/>
      <w:sz w:val="24"/>
      <w:szCs w:val="20"/>
    </w:rPr>
  </w:style>
  <w:style w:type="paragraph" w:customStyle="1" w:styleId="9">
    <w:name w:val="Char1"/>
    <w:basedOn w:val="1"/>
    <w:qFormat/>
    <w:uiPriority w:val="0"/>
    <w:pPr>
      <w:spacing w:line="360" w:lineRule="auto"/>
    </w:pPr>
    <w:rPr>
      <w:rFonts w:ascii="Tahoma" w:hAnsi="Tahoma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80</Words>
  <Characters>457</Characters>
  <Lines>3</Lines>
  <Paragraphs>1</Paragraphs>
  <TotalTime>4</TotalTime>
  <ScaleCrop>false</ScaleCrop>
  <LinksUpToDate>false</LinksUpToDate>
  <CharactersWithSpaces>536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2017-03-13T03:17:00Z</dcterms:created>
  <dc:creator>[预算股][吴立杰]</dc:creator>
  <cp:lastModifiedBy>葱葱</cp:lastModifiedBy>
  <cp:lastPrinted>2019-02-25T05:54:00Z</cp:lastPrinted>
  <dcterms:modified xsi:type="dcterms:W3CDTF">2021-03-04T02:23:04Z</dcterms:modified>
  <cp:revision>65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