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80" w:lineRule="atLeast"/>
        <w:ind w:firstLine="640"/>
        <w:jc w:val="center"/>
        <w:rPr>
          <w:rFonts w:ascii="黑体" w:hAnsi="黑体" w:eastAsia="黑体" w:cs="宋体"/>
          <w:kern w:val="0"/>
          <w:sz w:val="44"/>
          <w:szCs w:val="44"/>
        </w:rPr>
      </w:pPr>
      <w:bookmarkStart w:id="0" w:name="_GoBack"/>
      <w:bookmarkEnd w:id="0"/>
      <w:r>
        <w:rPr>
          <w:rFonts w:hint="eastAsia" w:ascii="黑体" w:hAnsi="黑体" w:eastAsia="黑体" w:cs="宋体"/>
          <w:kern w:val="0"/>
          <w:sz w:val="44"/>
          <w:szCs w:val="44"/>
        </w:rPr>
        <w:t>隆尧县2021年政府评审政府采购等补充事项说明</w:t>
      </w:r>
    </w:p>
    <w:p>
      <w:pPr>
        <w:widowControl/>
        <w:spacing w:line="580" w:lineRule="atLeast"/>
        <w:ind w:firstLine="640"/>
        <w:jc w:val="left"/>
        <w:rPr>
          <w:rFonts w:ascii="宋体" w:hAnsi="宋体" w:cs="宋体"/>
          <w:kern w:val="0"/>
          <w:sz w:val="32"/>
          <w:szCs w:val="32"/>
        </w:rPr>
      </w:pPr>
      <w:r>
        <w:rPr>
          <w:rFonts w:hint="eastAsia" w:ascii="宋体" w:hAnsi="宋体" w:cs="宋体"/>
          <w:kern w:val="0"/>
          <w:sz w:val="32"/>
          <w:szCs w:val="32"/>
        </w:rPr>
        <w:t xml:space="preserve">                 2021.2.21</w:t>
      </w:r>
    </w:p>
    <w:p>
      <w:pPr>
        <w:widowControl/>
        <w:spacing w:line="580" w:lineRule="atLeast"/>
        <w:ind w:firstLine="640"/>
        <w:jc w:val="left"/>
        <w:rPr>
          <w:rFonts w:hint="eastAsia" w:asciiTheme="minorEastAsia" w:hAnsiTheme="minorEastAsia" w:eastAsiaTheme="minorEastAsia" w:cstheme="minorEastAsia"/>
          <w:kern w:val="0"/>
          <w:sz w:val="32"/>
          <w:szCs w:val="32"/>
        </w:rPr>
      </w:pPr>
      <w:r>
        <w:rPr>
          <w:rFonts w:hint="eastAsia" w:asciiTheme="minorEastAsia" w:hAnsiTheme="minorEastAsia" w:eastAsiaTheme="minorEastAsia" w:cstheme="minorEastAsia"/>
          <w:kern w:val="0"/>
          <w:sz w:val="32"/>
          <w:szCs w:val="32"/>
        </w:rPr>
        <w:t>根据河北省预算公开操作规程,现对2020年总预算公开其他事项作补充说明:</w:t>
      </w:r>
    </w:p>
    <w:p>
      <w:pPr>
        <w:widowControl/>
        <w:spacing w:line="580" w:lineRule="atLeast"/>
        <w:jc w:val="left"/>
        <w:rPr>
          <w:rFonts w:hint="eastAsia" w:asciiTheme="minorEastAsia" w:hAnsiTheme="minorEastAsia" w:eastAsiaTheme="minorEastAsia" w:cstheme="minorEastAsia"/>
          <w:kern w:val="0"/>
          <w:sz w:val="32"/>
          <w:szCs w:val="32"/>
        </w:rPr>
      </w:pPr>
      <w:r>
        <w:rPr>
          <w:rFonts w:hint="eastAsia" w:asciiTheme="minorEastAsia" w:hAnsiTheme="minorEastAsia" w:eastAsiaTheme="minorEastAsia" w:cstheme="minorEastAsia"/>
          <w:kern w:val="0"/>
          <w:sz w:val="32"/>
          <w:szCs w:val="32"/>
        </w:rPr>
        <w:t xml:space="preserve">   </w:t>
      </w:r>
      <w:r>
        <w:rPr>
          <w:rFonts w:hint="eastAsia" w:asciiTheme="minorEastAsia" w:hAnsiTheme="minorEastAsia" w:eastAsiaTheme="minorEastAsia" w:cstheme="minorEastAsia"/>
          <w:color w:val="000000"/>
          <w:kern w:val="0"/>
          <w:sz w:val="32"/>
          <w:szCs w:val="32"/>
        </w:rPr>
        <w:t xml:space="preserve"> </w:t>
      </w:r>
      <w:r>
        <w:rPr>
          <w:rFonts w:hint="eastAsia" w:asciiTheme="minorEastAsia" w:hAnsiTheme="minorEastAsia" w:eastAsiaTheme="minorEastAsia" w:cstheme="minorEastAsia"/>
          <w:kern w:val="0"/>
          <w:sz w:val="32"/>
          <w:szCs w:val="32"/>
        </w:rPr>
        <w:t xml:space="preserve">   一、2021年县级政府评审情况</w:t>
      </w:r>
    </w:p>
    <w:p>
      <w:pPr>
        <w:widowControl/>
        <w:spacing w:line="560" w:lineRule="exact"/>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kern w:val="0"/>
          <w:sz w:val="32"/>
          <w:szCs w:val="32"/>
        </w:rPr>
        <w:t xml:space="preserve">1、2020年政府投资项目评审情况  </w:t>
      </w:r>
      <w:r>
        <w:rPr>
          <w:rFonts w:hint="eastAsia" w:asciiTheme="minorEastAsia" w:hAnsiTheme="minorEastAsia" w:eastAsiaTheme="minorEastAsia" w:cstheme="minorEastAsia"/>
          <w:color w:val="000000"/>
          <w:spacing w:val="-4"/>
          <w:sz w:val="32"/>
          <w:szCs w:val="32"/>
        </w:rPr>
        <w:t>认真履行财政评审职能，全年</w:t>
      </w:r>
      <w:r>
        <w:rPr>
          <w:rFonts w:hint="eastAsia" w:asciiTheme="minorEastAsia" w:hAnsiTheme="minorEastAsia" w:eastAsiaTheme="minorEastAsia" w:cstheme="minorEastAsia"/>
          <w:sz w:val="32"/>
          <w:szCs w:val="32"/>
        </w:rPr>
        <w:t>投资评审预算报审金额47582万元，评审项目56个，审定金额43738万元，审减金额3844万元，综合审减率8.08%。</w:t>
      </w:r>
    </w:p>
    <w:p>
      <w:pPr>
        <w:widowControl/>
        <w:spacing w:line="560" w:lineRule="exact"/>
        <w:ind w:firstLine="640" w:firstLineChars="200"/>
        <w:rPr>
          <w:rFonts w:hint="eastAsia" w:asciiTheme="minorEastAsia" w:hAnsiTheme="minorEastAsia" w:eastAsiaTheme="minorEastAsia" w:cstheme="minorEastAsia"/>
          <w:kern w:val="0"/>
          <w:sz w:val="32"/>
          <w:szCs w:val="32"/>
        </w:rPr>
      </w:pPr>
      <w:r>
        <w:rPr>
          <w:rFonts w:hint="eastAsia" w:asciiTheme="minorEastAsia" w:hAnsiTheme="minorEastAsia" w:eastAsiaTheme="minorEastAsia" w:cstheme="minorEastAsia"/>
          <w:kern w:val="0"/>
          <w:sz w:val="32"/>
          <w:szCs w:val="32"/>
        </w:rPr>
        <w:t>2、2021年政府投资项目评审情况</w:t>
      </w:r>
    </w:p>
    <w:p>
      <w:pPr>
        <w:widowControl/>
        <w:spacing w:line="560" w:lineRule="exact"/>
        <w:ind w:firstLine="640" w:firstLineChars="200"/>
        <w:rPr>
          <w:rFonts w:hint="eastAsia" w:asciiTheme="minorEastAsia" w:hAnsiTheme="minorEastAsia" w:eastAsiaTheme="minorEastAsia" w:cstheme="minorEastAsia"/>
          <w:kern w:val="0"/>
          <w:sz w:val="32"/>
          <w:szCs w:val="32"/>
        </w:rPr>
      </w:pPr>
      <w:r>
        <w:rPr>
          <w:rFonts w:hint="eastAsia" w:asciiTheme="minorEastAsia" w:hAnsiTheme="minorEastAsia" w:eastAsiaTheme="minorEastAsia" w:cstheme="minorEastAsia"/>
          <w:kern w:val="0"/>
          <w:sz w:val="32"/>
          <w:szCs w:val="32"/>
        </w:rPr>
        <w:t>根据政字[2014]82号文件规定,</w:t>
      </w:r>
      <w:r>
        <w:rPr>
          <w:rFonts w:hint="eastAsia" w:asciiTheme="minorEastAsia" w:hAnsiTheme="minorEastAsia" w:eastAsiaTheme="minorEastAsia" w:cstheme="minorEastAsia"/>
          <w:snapToGrid w:val="0"/>
          <w:color w:val="000000"/>
          <w:kern w:val="66"/>
          <w:sz w:val="32"/>
          <w:szCs w:val="32"/>
        </w:rPr>
        <w:t xml:space="preserve"> </w:t>
      </w:r>
      <w:r>
        <w:rPr>
          <w:rFonts w:hint="eastAsia" w:asciiTheme="minorEastAsia" w:hAnsiTheme="minorEastAsia" w:eastAsiaTheme="minorEastAsia" w:cstheme="minorEastAsia"/>
          <w:kern w:val="0"/>
          <w:sz w:val="32"/>
          <w:szCs w:val="32"/>
        </w:rPr>
        <w:t>县本级投资50万元以上的工程类建设项目，需要进行预算评审。包括政府性投（融）资项目和财政性资金安排的其他项目（主要包括建筑物及基础设施购建、大型修缮等项目）。</w:t>
      </w:r>
    </w:p>
    <w:p>
      <w:pPr>
        <w:widowControl/>
        <w:snapToGrid w:val="0"/>
        <w:spacing w:line="580" w:lineRule="atLeast"/>
        <w:ind w:firstLine="640"/>
        <w:jc w:val="left"/>
        <w:rPr>
          <w:rFonts w:hint="eastAsia" w:asciiTheme="minorEastAsia" w:hAnsiTheme="minorEastAsia" w:eastAsiaTheme="minorEastAsia" w:cstheme="minorEastAsia"/>
          <w:kern w:val="0"/>
          <w:sz w:val="32"/>
          <w:szCs w:val="32"/>
        </w:rPr>
      </w:pPr>
      <w:r>
        <w:rPr>
          <w:rFonts w:hint="eastAsia" w:asciiTheme="minorEastAsia" w:hAnsiTheme="minorEastAsia" w:eastAsiaTheme="minorEastAsia" w:cstheme="minorEastAsia"/>
          <w:kern w:val="0"/>
          <w:sz w:val="32"/>
          <w:szCs w:val="32"/>
        </w:rPr>
        <w:t>增加投资额20万元以上的，须由项目单位申请，报县政府批准后，经县行政审批局对追加概算审批后，由县财政投资评审中心进行投资变更评审。</w:t>
      </w:r>
    </w:p>
    <w:p>
      <w:pPr>
        <w:widowControl/>
        <w:spacing w:line="600" w:lineRule="exact"/>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 xml:space="preserve">    二、2021年政府采购情况</w:t>
      </w:r>
    </w:p>
    <w:p>
      <w:pPr>
        <w:widowControl/>
        <w:spacing w:line="600" w:lineRule="exact"/>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 xml:space="preserve">    1、2020年</w:t>
      </w:r>
      <w:r>
        <w:rPr>
          <w:rFonts w:hint="eastAsia" w:asciiTheme="minorEastAsia" w:hAnsiTheme="minorEastAsia" w:eastAsiaTheme="minorEastAsia" w:cstheme="minorEastAsia"/>
          <w:color w:val="2B2B2B"/>
          <w:sz w:val="32"/>
          <w:szCs w:val="32"/>
        </w:rPr>
        <w:t>政府采购情况  认真贯彻执行政府采购法，</w:t>
      </w:r>
      <w:r>
        <w:rPr>
          <w:rFonts w:hint="eastAsia" w:asciiTheme="minorEastAsia" w:hAnsiTheme="minorEastAsia" w:eastAsiaTheme="minorEastAsia" w:cstheme="minorEastAsia"/>
          <w:sz w:val="32"/>
          <w:szCs w:val="32"/>
        </w:rPr>
        <w:t>完成采购预算资金56773万元，实际采购支出54349万元，节约预算资金2424万元，平均节约率4.27%。</w:t>
      </w:r>
    </w:p>
    <w:p>
      <w:pPr>
        <w:widowControl/>
        <w:snapToGrid w:val="0"/>
        <w:spacing w:line="580" w:lineRule="atLeast"/>
        <w:ind w:firstLine="640"/>
        <w:jc w:val="left"/>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 xml:space="preserve"> 2、2021年政府采购预算   </w:t>
      </w:r>
    </w:p>
    <w:p>
      <w:pPr>
        <w:widowControl/>
        <w:spacing w:line="600" w:lineRule="exact"/>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color w:val="2B2B2B"/>
          <w:sz w:val="32"/>
          <w:szCs w:val="32"/>
          <w:lang w:val="en-US" w:eastAsia="zh-CN"/>
        </w:rPr>
        <w:t>2021</w:t>
      </w:r>
      <w:r>
        <w:rPr>
          <w:rFonts w:hint="eastAsia" w:asciiTheme="minorEastAsia" w:hAnsiTheme="minorEastAsia" w:eastAsiaTheme="minorEastAsia" w:cstheme="minorEastAsia"/>
          <w:color w:val="2B2B2B"/>
          <w:sz w:val="32"/>
          <w:szCs w:val="32"/>
        </w:rPr>
        <w:t>年</w:t>
      </w:r>
      <w:r>
        <w:rPr>
          <w:rFonts w:hint="eastAsia" w:asciiTheme="minorEastAsia" w:hAnsiTheme="minorEastAsia" w:eastAsiaTheme="minorEastAsia" w:cstheme="minorEastAsia"/>
          <w:color w:val="2B2B2B"/>
          <w:sz w:val="32"/>
          <w:szCs w:val="32"/>
          <w:lang w:eastAsia="zh-CN"/>
        </w:rPr>
        <w:t>政府</w:t>
      </w:r>
      <w:r>
        <w:rPr>
          <w:rFonts w:hint="eastAsia" w:asciiTheme="minorEastAsia" w:hAnsiTheme="minorEastAsia" w:eastAsiaTheme="minorEastAsia" w:cstheme="minorEastAsia"/>
          <w:color w:val="2B2B2B"/>
          <w:sz w:val="32"/>
          <w:szCs w:val="32"/>
        </w:rPr>
        <w:t>采购</w:t>
      </w:r>
      <w:r>
        <w:rPr>
          <w:rFonts w:hint="eastAsia" w:asciiTheme="minorEastAsia" w:hAnsiTheme="minorEastAsia" w:eastAsiaTheme="minorEastAsia" w:cstheme="minorEastAsia"/>
          <w:color w:val="2B2B2B"/>
          <w:sz w:val="32"/>
          <w:szCs w:val="32"/>
          <w:lang w:eastAsia="zh-CN"/>
        </w:rPr>
        <w:t>预算项目资金</w:t>
      </w:r>
      <w:r>
        <w:rPr>
          <w:rFonts w:hint="eastAsia" w:asciiTheme="minorEastAsia" w:hAnsiTheme="minorEastAsia" w:eastAsiaTheme="minorEastAsia" w:cstheme="minorEastAsia"/>
          <w:color w:val="2B2B2B"/>
          <w:sz w:val="32"/>
          <w:szCs w:val="32"/>
          <w:lang w:val="en-US" w:eastAsia="zh-CN"/>
        </w:rPr>
        <w:t>47132</w:t>
      </w:r>
      <w:r>
        <w:rPr>
          <w:rFonts w:hint="eastAsia" w:asciiTheme="minorEastAsia" w:hAnsiTheme="minorEastAsia" w:eastAsiaTheme="minorEastAsia" w:cstheme="minorEastAsia"/>
          <w:sz w:val="32"/>
          <w:szCs w:val="32"/>
        </w:rPr>
        <w:t>万元，</w:t>
      </w:r>
      <w:r>
        <w:rPr>
          <w:rFonts w:hint="eastAsia" w:asciiTheme="minorEastAsia" w:hAnsiTheme="minorEastAsia" w:eastAsiaTheme="minorEastAsia" w:cstheme="minorEastAsia"/>
          <w:sz w:val="32"/>
          <w:szCs w:val="32"/>
          <w:lang w:eastAsia="zh-CN"/>
        </w:rPr>
        <w:t>按照资金来源性质划分</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eastAsia="zh-CN"/>
        </w:rPr>
        <w:t>一般公共预算拨款</w:t>
      </w:r>
      <w:r>
        <w:rPr>
          <w:rFonts w:hint="eastAsia" w:asciiTheme="minorEastAsia" w:hAnsiTheme="minorEastAsia" w:eastAsiaTheme="minorEastAsia" w:cstheme="minorEastAsia"/>
          <w:sz w:val="32"/>
          <w:szCs w:val="32"/>
          <w:lang w:val="en-US" w:eastAsia="zh-CN"/>
        </w:rPr>
        <w:t>26076</w:t>
      </w:r>
      <w:r>
        <w:rPr>
          <w:rFonts w:hint="eastAsia" w:asciiTheme="minorEastAsia" w:hAnsiTheme="minorEastAsia" w:eastAsiaTheme="minorEastAsia" w:cstheme="minorEastAsia"/>
          <w:sz w:val="32"/>
          <w:szCs w:val="32"/>
        </w:rPr>
        <w:t>万元</w:t>
      </w:r>
      <w:r>
        <w:rPr>
          <w:rFonts w:hint="eastAsia" w:asciiTheme="minorEastAsia" w:hAnsiTheme="minorEastAsia" w:eastAsiaTheme="minorEastAsia" w:cstheme="minorEastAsia"/>
          <w:sz w:val="32"/>
          <w:szCs w:val="32"/>
          <w:lang w:eastAsia="zh-CN"/>
        </w:rPr>
        <w:t>、基金拨款</w:t>
      </w:r>
      <w:r>
        <w:rPr>
          <w:rFonts w:hint="eastAsia" w:asciiTheme="minorEastAsia" w:hAnsiTheme="minorEastAsia" w:eastAsiaTheme="minorEastAsia" w:cstheme="minorEastAsia"/>
          <w:sz w:val="32"/>
          <w:szCs w:val="32"/>
          <w:lang w:val="en-US" w:eastAsia="zh-CN"/>
        </w:rPr>
        <w:t>20949万元、</w:t>
      </w:r>
      <w:r>
        <w:rPr>
          <w:rFonts w:hint="eastAsia" w:asciiTheme="minorEastAsia" w:hAnsiTheme="minorEastAsia" w:eastAsiaTheme="minorEastAsia" w:cstheme="minorEastAsia"/>
          <w:sz w:val="32"/>
          <w:szCs w:val="32"/>
          <w:lang w:eastAsia="zh-CN"/>
        </w:rPr>
        <w:t>财政专户核拨</w:t>
      </w:r>
      <w:r>
        <w:rPr>
          <w:rFonts w:hint="eastAsia" w:asciiTheme="minorEastAsia" w:hAnsiTheme="minorEastAsia" w:eastAsiaTheme="minorEastAsia" w:cstheme="minorEastAsia"/>
          <w:sz w:val="32"/>
          <w:szCs w:val="32"/>
          <w:lang w:val="en-US" w:eastAsia="zh-CN"/>
        </w:rPr>
        <w:t>107</w:t>
      </w:r>
      <w:r>
        <w:rPr>
          <w:rFonts w:hint="eastAsia" w:asciiTheme="minorEastAsia" w:hAnsiTheme="minorEastAsia" w:eastAsiaTheme="minorEastAsia" w:cstheme="minorEastAsia"/>
          <w:sz w:val="32"/>
          <w:szCs w:val="32"/>
        </w:rPr>
        <w:t>万元</w:t>
      </w:r>
      <w:r>
        <w:rPr>
          <w:rFonts w:hint="eastAsia" w:asciiTheme="minorEastAsia" w:hAnsiTheme="minorEastAsia" w:eastAsiaTheme="minorEastAsia" w:cstheme="minorEastAsia"/>
          <w:sz w:val="32"/>
          <w:szCs w:val="32"/>
          <w:lang w:eastAsia="zh-CN"/>
        </w:rPr>
        <w:t>、其他收入</w:t>
      </w:r>
      <w:r>
        <w:rPr>
          <w:rFonts w:hint="eastAsia" w:asciiTheme="minorEastAsia" w:hAnsiTheme="minorEastAsia" w:eastAsiaTheme="minorEastAsia" w:cstheme="minorEastAsia"/>
          <w:sz w:val="32"/>
          <w:szCs w:val="32"/>
          <w:lang w:val="en-US" w:eastAsia="zh-CN"/>
        </w:rPr>
        <w:t>0</w:t>
      </w:r>
      <w:r>
        <w:rPr>
          <w:rFonts w:hint="eastAsia" w:asciiTheme="minorEastAsia" w:hAnsiTheme="minorEastAsia" w:eastAsiaTheme="minorEastAsia" w:cstheme="minorEastAsia"/>
          <w:sz w:val="32"/>
          <w:szCs w:val="32"/>
          <w:lang w:eastAsia="zh-CN"/>
        </w:rPr>
        <w:t>万元</w:t>
      </w:r>
      <w:r>
        <w:rPr>
          <w:rFonts w:hint="eastAsia" w:asciiTheme="minorEastAsia" w:hAnsiTheme="minorEastAsia" w:eastAsiaTheme="minorEastAsia" w:cstheme="minorEastAsia"/>
          <w:sz w:val="32"/>
          <w:szCs w:val="32"/>
        </w:rPr>
        <w:t>。占公共预算支出250665万元</w:t>
      </w:r>
      <w:r>
        <w:rPr>
          <w:rFonts w:hint="eastAsia" w:asciiTheme="minorEastAsia" w:hAnsiTheme="minorEastAsia" w:eastAsiaTheme="minorEastAsia" w:cstheme="minorEastAsia"/>
          <w:sz w:val="32"/>
          <w:szCs w:val="32"/>
          <w:lang w:eastAsia="zh-CN"/>
        </w:rPr>
        <w:t>的</w:t>
      </w:r>
      <w:r>
        <w:rPr>
          <w:rFonts w:hint="eastAsia" w:asciiTheme="minorEastAsia" w:hAnsiTheme="minorEastAsia" w:eastAsiaTheme="minorEastAsia" w:cstheme="minorEastAsia"/>
          <w:sz w:val="32"/>
          <w:szCs w:val="32"/>
          <w:lang w:val="en-US" w:eastAsia="zh-CN"/>
        </w:rPr>
        <w:t>10.4</w:t>
      </w:r>
      <w:r>
        <w:rPr>
          <w:rFonts w:hint="eastAsia" w:asciiTheme="minorEastAsia" w:hAnsiTheme="minorEastAsia" w:eastAsiaTheme="minorEastAsia" w:cstheme="minorEastAsia"/>
          <w:sz w:val="32"/>
          <w:szCs w:val="32"/>
        </w:rPr>
        <w:t xml:space="preserve"> %。</w:t>
      </w:r>
    </w:p>
    <w:p>
      <w:pPr>
        <w:widowControl/>
        <w:snapToGrid w:val="0"/>
        <w:spacing w:line="580" w:lineRule="atLeast"/>
        <w:ind w:firstLine="640"/>
        <w:jc w:val="left"/>
        <w:rPr>
          <w:rFonts w:hint="eastAsia" w:asciiTheme="minorEastAsia" w:hAnsiTheme="minorEastAsia" w:eastAsiaTheme="minorEastAsia" w:cstheme="minorEastAsia"/>
          <w:kern w:val="0"/>
          <w:sz w:val="22"/>
          <w:szCs w:val="22"/>
        </w:rPr>
      </w:pPr>
      <w:r>
        <w:rPr>
          <w:rFonts w:hint="eastAsia" w:asciiTheme="minorEastAsia" w:hAnsiTheme="minorEastAsia" w:eastAsiaTheme="minorEastAsia" w:cstheme="minorEastAsia"/>
          <w:kern w:val="0"/>
          <w:sz w:val="32"/>
          <w:szCs w:val="32"/>
        </w:rPr>
        <w:t>凡符合《河北省集中采购目录及政府采购限额标准》的，都应编列部门政府采购预算。单项或批量采购预算金额</w:t>
      </w:r>
      <w:r>
        <w:rPr>
          <w:rFonts w:hint="eastAsia" w:asciiTheme="minorEastAsia" w:hAnsiTheme="minorEastAsia" w:eastAsiaTheme="minorEastAsia" w:cstheme="minorEastAsia"/>
          <w:kern w:val="0"/>
          <w:sz w:val="32"/>
          <w:szCs w:val="32"/>
          <w:lang w:eastAsia="zh-CN"/>
        </w:rPr>
        <w:t>工程</w:t>
      </w:r>
      <w:r>
        <w:rPr>
          <w:rFonts w:hint="eastAsia" w:asciiTheme="minorEastAsia" w:hAnsiTheme="minorEastAsia" w:eastAsiaTheme="minorEastAsia" w:cstheme="minorEastAsia"/>
          <w:kern w:val="0"/>
          <w:sz w:val="32"/>
          <w:szCs w:val="32"/>
          <w:lang w:val="en-US" w:eastAsia="zh-CN"/>
        </w:rPr>
        <w:t>60</w:t>
      </w:r>
      <w:r>
        <w:rPr>
          <w:rFonts w:hint="eastAsia" w:asciiTheme="minorEastAsia" w:hAnsiTheme="minorEastAsia" w:eastAsiaTheme="minorEastAsia" w:cstheme="minorEastAsia"/>
          <w:kern w:val="0"/>
          <w:sz w:val="32"/>
          <w:szCs w:val="32"/>
        </w:rPr>
        <w:t>万元</w:t>
      </w:r>
      <w:r>
        <w:rPr>
          <w:rFonts w:hint="eastAsia" w:asciiTheme="minorEastAsia" w:hAnsiTheme="minorEastAsia" w:eastAsiaTheme="minorEastAsia" w:cstheme="minorEastAsia"/>
          <w:kern w:val="0"/>
          <w:sz w:val="32"/>
          <w:szCs w:val="32"/>
          <w:lang w:eastAsia="zh-CN"/>
        </w:rPr>
        <w:t>，货物服务类</w:t>
      </w:r>
      <w:r>
        <w:rPr>
          <w:rFonts w:hint="eastAsia" w:asciiTheme="minorEastAsia" w:hAnsiTheme="minorEastAsia" w:eastAsiaTheme="minorEastAsia" w:cstheme="minorEastAsia"/>
          <w:kern w:val="0"/>
          <w:sz w:val="32"/>
          <w:szCs w:val="32"/>
          <w:lang w:val="en-US" w:eastAsia="zh-CN"/>
        </w:rPr>
        <w:t>30万元</w:t>
      </w:r>
      <w:r>
        <w:rPr>
          <w:rFonts w:hint="eastAsia" w:asciiTheme="minorEastAsia" w:hAnsiTheme="minorEastAsia" w:eastAsiaTheme="minorEastAsia" w:cstheme="minorEastAsia"/>
          <w:kern w:val="0"/>
          <w:sz w:val="32"/>
          <w:szCs w:val="32"/>
        </w:rPr>
        <w:t>以上的以及集中采购目录以内（河北省集中采购目录）的，均应按要求编制政府采购预算。</w:t>
      </w:r>
    </w:p>
    <w:p>
      <w:pPr>
        <w:widowControl/>
        <w:spacing w:line="580" w:lineRule="atLeast"/>
        <w:jc w:val="left"/>
        <w:rPr>
          <w:rFonts w:hint="eastAsia" w:asciiTheme="minorEastAsia" w:hAnsiTheme="minorEastAsia" w:eastAsiaTheme="minorEastAsia" w:cstheme="minorEastAsia"/>
          <w:kern w:val="0"/>
          <w:sz w:val="32"/>
          <w:szCs w:val="32"/>
        </w:rPr>
      </w:pPr>
      <w:r>
        <w:rPr>
          <w:rFonts w:hint="eastAsia" w:asciiTheme="minorEastAsia" w:hAnsiTheme="minorEastAsia" w:eastAsiaTheme="minorEastAsia" w:cstheme="minorEastAsia"/>
          <w:kern w:val="0"/>
          <w:sz w:val="32"/>
          <w:szCs w:val="32"/>
        </w:rPr>
        <w:t xml:space="preserve">   三、2021年绩效预算工作开展情况</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Theme="minorEastAsia" w:hAnsiTheme="minorEastAsia" w:eastAsiaTheme="minorEastAsia" w:cstheme="minorEastAsia"/>
          <w:b w:val="0"/>
          <w:bCs w:val="0"/>
          <w:i w:val="0"/>
          <w:caps w:val="0"/>
          <w:color w:val="auto"/>
          <w:spacing w:val="8"/>
          <w:sz w:val="30"/>
          <w:szCs w:val="30"/>
          <w:shd w:val="clear" w:fill="FFFFFF"/>
          <w:lang w:eastAsia="zh-CN"/>
        </w:rPr>
      </w:pPr>
      <w:r>
        <w:rPr>
          <w:rFonts w:hint="eastAsia" w:asciiTheme="minorEastAsia" w:hAnsiTheme="minorEastAsia" w:eastAsiaTheme="minorEastAsia" w:cstheme="minorEastAsia"/>
          <w:kern w:val="0"/>
          <w:sz w:val="32"/>
          <w:szCs w:val="32"/>
        </w:rPr>
        <w:t xml:space="preserve"> </w:t>
      </w:r>
      <w:r>
        <w:rPr>
          <w:rFonts w:hint="eastAsia" w:asciiTheme="minorEastAsia" w:hAnsiTheme="minorEastAsia" w:eastAsiaTheme="minorEastAsia" w:cstheme="minorEastAsia"/>
          <w:b w:val="0"/>
          <w:bCs w:val="0"/>
          <w:i w:val="0"/>
          <w:caps w:val="0"/>
          <w:color w:val="auto"/>
          <w:spacing w:val="8"/>
          <w:sz w:val="30"/>
          <w:szCs w:val="30"/>
          <w:shd w:val="clear" w:fill="FFFFFF"/>
          <w:lang w:eastAsia="zh-CN"/>
        </w:rPr>
        <w:t>中央省市《关于全面实施预算绩效管理实施意见》和相关文件要求，我局确保全面实施预算绩效管理各项举措全部落地，努力建成全方位、全过程、全覆盖的预算绩效管理体系。</w:t>
      </w:r>
    </w:p>
    <w:p>
      <w:pPr>
        <w:widowControl w:val="0"/>
        <w:numPr>
          <w:ilvl w:val="0"/>
          <w:numId w:val="0"/>
        </w:numPr>
        <w:ind w:firstLine="634" w:firstLineChars="200"/>
        <w:jc w:val="both"/>
        <w:rPr>
          <w:rFonts w:hint="eastAsia" w:asciiTheme="minorEastAsia" w:hAnsiTheme="minorEastAsia" w:eastAsiaTheme="minorEastAsia" w:cstheme="minorEastAsia"/>
          <w:b w:val="0"/>
          <w:bCs w:val="0"/>
          <w:i w:val="0"/>
          <w:caps w:val="0"/>
          <w:color w:val="auto"/>
          <w:spacing w:val="8"/>
          <w:sz w:val="30"/>
          <w:szCs w:val="30"/>
          <w:shd w:val="clear" w:fill="FFFFFF"/>
          <w:lang w:eastAsia="zh-CN"/>
        </w:rPr>
      </w:pPr>
      <w:r>
        <w:rPr>
          <w:rFonts w:hint="eastAsia" w:asciiTheme="minorEastAsia" w:hAnsiTheme="minorEastAsia" w:eastAsiaTheme="minorEastAsia" w:cstheme="minorEastAsia"/>
          <w:b/>
          <w:bCs/>
          <w:i w:val="0"/>
          <w:caps w:val="0"/>
          <w:color w:val="auto"/>
          <w:spacing w:val="8"/>
          <w:sz w:val="30"/>
          <w:szCs w:val="30"/>
          <w:shd w:val="clear" w:fill="FFFFFF"/>
          <w:lang w:eastAsia="zh-CN"/>
        </w:rPr>
        <w:t>完善预算绩效管理体系</w:t>
      </w:r>
      <w:r>
        <w:rPr>
          <w:rFonts w:hint="eastAsia" w:asciiTheme="minorEastAsia" w:hAnsiTheme="minorEastAsia" w:eastAsiaTheme="minorEastAsia" w:cstheme="minorEastAsia"/>
          <w:b/>
          <w:bCs/>
          <w:i w:val="0"/>
          <w:caps w:val="0"/>
          <w:color w:val="auto"/>
          <w:spacing w:val="8"/>
          <w:sz w:val="30"/>
          <w:szCs w:val="30"/>
          <w:shd w:val="clear" w:fill="FFFFFF"/>
          <w:lang w:val="en-US" w:eastAsia="zh-CN"/>
        </w:rPr>
        <w:t xml:space="preserve">   </w:t>
      </w:r>
      <w:r>
        <w:rPr>
          <w:rFonts w:hint="eastAsia" w:asciiTheme="minorEastAsia" w:hAnsiTheme="minorEastAsia" w:eastAsiaTheme="minorEastAsia" w:cstheme="minorEastAsia"/>
          <w:kern w:val="0"/>
          <w:sz w:val="30"/>
          <w:szCs w:val="30"/>
        </w:rPr>
        <w:t>建立</w:t>
      </w:r>
      <w:r>
        <w:rPr>
          <w:rFonts w:hint="eastAsia" w:asciiTheme="minorEastAsia" w:hAnsiTheme="minorEastAsia" w:eastAsiaTheme="minorEastAsia" w:cstheme="minorEastAsia"/>
          <w:kern w:val="0"/>
          <w:sz w:val="30"/>
          <w:szCs w:val="30"/>
          <w:lang w:eastAsia="zh-CN"/>
        </w:rPr>
        <w:t>了</w:t>
      </w:r>
      <w:r>
        <w:rPr>
          <w:rFonts w:hint="eastAsia" w:asciiTheme="minorEastAsia" w:hAnsiTheme="minorEastAsia" w:eastAsiaTheme="minorEastAsia" w:cstheme="minorEastAsia"/>
          <w:kern w:val="0"/>
          <w:sz w:val="30"/>
          <w:szCs w:val="30"/>
        </w:rPr>
        <w:t>政府统一领导、财政牵头组织、部门具体实施、社会广泛参与的</w:t>
      </w:r>
      <w:r>
        <w:rPr>
          <w:rFonts w:hint="eastAsia" w:asciiTheme="minorEastAsia" w:hAnsiTheme="minorEastAsia" w:eastAsiaTheme="minorEastAsia" w:cstheme="minorEastAsia"/>
          <w:kern w:val="0"/>
          <w:sz w:val="30"/>
          <w:szCs w:val="30"/>
          <w:lang w:eastAsia="zh-CN"/>
        </w:rPr>
        <w:t>预算绩效管理</w:t>
      </w:r>
      <w:r>
        <w:rPr>
          <w:rFonts w:hint="eastAsia" w:asciiTheme="minorEastAsia" w:hAnsiTheme="minorEastAsia" w:eastAsiaTheme="minorEastAsia" w:cstheme="minorEastAsia"/>
          <w:kern w:val="0"/>
          <w:sz w:val="30"/>
          <w:szCs w:val="30"/>
        </w:rPr>
        <w:t>工作体系。</w:t>
      </w:r>
      <w:r>
        <w:rPr>
          <w:rFonts w:hint="eastAsia" w:asciiTheme="minorEastAsia" w:hAnsiTheme="minorEastAsia" w:eastAsiaTheme="minorEastAsia" w:cstheme="minorEastAsia"/>
          <w:sz w:val="30"/>
          <w:szCs w:val="30"/>
        </w:rPr>
        <w:t>印发了《中共隆尧县委隆尧县人民政府关于全面落实预算绩效管理实施意见》隆发〔2019〕15号</w:t>
      </w:r>
      <w:r>
        <w:rPr>
          <w:rFonts w:hint="eastAsia" w:asciiTheme="minorEastAsia" w:hAnsiTheme="minorEastAsia" w:eastAsiaTheme="minorEastAsia" w:cstheme="minorEastAsia"/>
          <w:sz w:val="30"/>
          <w:szCs w:val="30"/>
          <w:lang w:eastAsia="zh-CN"/>
        </w:rPr>
        <w:t>、</w:t>
      </w:r>
      <w:r>
        <w:rPr>
          <w:rFonts w:hint="eastAsia" w:asciiTheme="minorEastAsia" w:hAnsiTheme="minorEastAsia" w:eastAsiaTheme="minorEastAsia" w:cstheme="minorEastAsia"/>
          <w:sz w:val="30"/>
          <w:szCs w:val="30"/>
        </w:rPr>
        <w:t>《隆尧县县级部门预算绩效管理办法》隆财〔2019〕117号</w:t>
      </w:r>
      <w:r>
        <w:rPr>
          <w:rFonts w:hint="eastAsia" w:asciiTheme="minorEastAsia" w:hAnsiTheme="minorEastAsia" w:eastAsiaTheme="minorEastAsia" w:cstheme="minorEastAsia"/>
          <w:sz w:val="30"/>
          <w:szCs w:val="30"/>
          <w:lang w:eastAsia="zh-CN"/>
        </w:rPr>
        <w:t>、</w:t>
      </w:r>
      <w:r>
        <w:rPr>
          <w:rFonts w:hint="eastAsia" w:asciiTheme="minorEastAsia" w:hAnsiTheme="minorEastAsia" w:eastAsiaTheme="minorEastAsia" w:cstheme="minorEastAsia"/>
          <w:sz w:val="30"/>
          <w:szCs w:val="30"/>
        </w:rPr>
        <w:t>《隆尧县全面实施预算绩效管理推进工作方案》隆财〔2019〕118号</w:t>
      </w:r>
      <w:r>
        <w:rPr>
          <w:rFonts w:hint="eastAsia" w:asciiTheme="minorEastAsia" w:hAnsiTheme="minorEastAsia" w:eastAsiaTheme="minorEastAsia" w:cstheme="minorEastAsia"/>
          <w:sz w:val="30"/>
          <w:szCs w:val="30"/>
          <w:lang w:eastAsia="zh-CN"/>
        </w:rPr>
        <w:t>等。全面开展</w:t>
      </w:r>
      <w:r>
        <w:rPr>
          <w:rFonts w:hint="eastAsia" w:asciiTheme="minorEastAsia" w:hAnsiTheme="minorEastAsia" w:eastAsiaTheme="minorEastAsia" w:cstheme="minorEastAsia"/>
          <w:b w:val="0"/>
          <w:bCs w:val="0"/>
          <w:i w:val="0"/>
          <w:caps w:val="0"/>
          <w:color w:val="auto"/>
          <w:spacing w:val="8"/>
          <w:sz w:val="30"/>
          <w:szCs w:val="30"/>
          <w:shd w:val="clear" w:fill="FFFFFF"/>
          <w:lang w:eastAsia="zh-CN"/>
        </w:rPr>
        <w:t>绩效管理一体化信息系统培训。</w:t>
      </w:r>
    </w:p>
    <w:p>
      <w:pPr>
        <w:widowControl w:val="0"/>
        <w:numPr>
          <w:ilvl w:val="0"/>
          <w:numId w:val="0"/>
        </w:numPr>
        <w:ind w:firstLine="634" w:firstLineChars="200"/>
        <w:jc w:val="both"/>
        <w:rPr>
          <w:rFonts w:hint="eastAsia" w:asciiTheme="minorEastAsia" w:hAnsiTheme="minorEastAsia" w:eastAsiaTheme="minorEastAsia" w:cstheme="minorEastAsia"/>
          <w:b w:val="0"/>
          <w:bCs w:val="0"/>
          <w:i w:val="0"/>
          <w:caps w:val="0"/>
          <w:color w:val="auto"/>
          <w:spacing w:val="8"/>
          <w:sz w:val="30"/>
          <w:szCs w:val="30"/>
          <w:shd w:val="clear" w:fill="FFFFFF"/>
          <w:lang w:val="en-US" w:eastAsia="zh-CN"/>
        </w:rPr>
      </w:pPr>
      <w:r>
        <w:rPr>
          <w:rFonts w:hint="eastAsia" w:asciiTheme="minorEastAsia" w:hAnsiTheme="minorEastAsia" w:eastAsiaTheme="minorEastAsia" w:cstheme="minorEastAsia"/>
          <w:b/>
          <w:bCs/>
          <w:i w:val="0"/>
          <w:caps w:val="0"/>
          <w:color w:val="auto"/>
          <w:spacing w:val="8"/>
          <w:sz w:val="30"/>
          <w:szCs w:val="30"/>
          <w:shd w:val="clear" w:fill="FFFFFF"/>
          <w:lang w:eastAsia="zh-CN"/>
        </w:rPr>
        <w:t>预算绩效评价全面覆盖</w:t>
      </w:r>
      <w:r>
        <w:rPr>
          <w:rFonts w:hint="eastAsia" w:asciiTheme="minorEastAsia" w:hAnsiTheme="minorEastAsia" w:eastAsiaTheme="minorEastAsia" w:cstheme="minorEastAsia"/>
          <w:b/>
          <w:bCs/>
          <w:i w:val="0"/>
          <w:caps w:val="0"/>
          <w:color w:val="auto"/>
          <w:spacing w:val="8"/>
          <w:sz w:val="30"/>
          <w:szCs w:val="30"/>
          <w:shd w:val="clear" w:fill="FFFFFF"/>
          <w:lang w:val="en-US" w:eastAsia="zh-CN"/>
        </w:rPr>
        <w:t xml:space="preserve">   </w:t>
      </w:r>
      <w:r>
        <w:rPr>
          <w:rFonts w:hint="eastAsia" w:asciiTheme="minorEastAsia" w:hAnsiTheme="minorEastAsia" w:eastAsiaTheme="minorEastAsia" w:cstheme="minorEastAsia"/>
          <w:b w:val="0"/>
          <w:bCs w:val="0"/>
          <w:i w:val="0"/>
          <w:caps w:val="0"/>
          <w:color w:val="auto"/>
          <w:spacing w:val="8"/>
          <w:sz w:val="30"/>
          <w:szCs w:val="30"/>
          <w:shd w:val="clear" w:fill="FFFFFF"/>
          <w:lang w:val="en-US" w:eastAsia="zh-CN"/>
        </w:rPr>
        <w:t>2020年我县绩效评价工作全面展开，由点到面、由重点到一般、由部分到全部，做到了无死角、全覆盖。聘请石家庄合光会计师事务所对三个革命老区项目、聘请北京中咨新世纪会计师事务所有限公司河北分所对我县14个重点项目进行了绩效评价。最后结合2020年预算编制工作我县69个预算部门开展了绩效自评，实现了预算审批和绩效评价同时提交，事前评估和资金申报一并上报，政府收支预算全面纳入绩效管理，绩效评价全面覆盖。下一步我局将对疫情防控、大气治理、中央减税降费等重大政策开展专题绩效评估。</w:t>
      </w:r>
    </w:p>
    <w:p>
      <w:pPr>
        <w:widowControl w:val="0"/>
        <w:numPr>
          <w:ilvl w:val="0"/>
          <w:numId w:val="0"/>
        </w:numPr>
        <w:ind w:firstLine="634" w:firstLineChars="200"/>
        <w:jc w:val="both"/>
        <w:rPr>
          <w:rFonts w:hint="eastAsia" w:asciiTheme="minorEastAsia" w:hAnsiTheme="minorEastAsia" w:eastAsiaTheme="minorEastAsia" w:cstheme="minorEastAsia"/>
          <w:b w:val="0"/>
          <w:bCs w:val="0"/>
          <w:i w:val="0"/>
          <w:caps w:val="0"/>
          <w:color w:val="auto"/>
          <w:spacing w:val="8"/>
          <w:sz w:val="30"/>
          <w:szCs w:val="30"/>
          <w:shd w:val="clear" w:fill="FFFFFF"/>
          <w:lang w:val="en-US" w:eastAsia="zh-CN"/>
        </w:rPr>
      </w:pPr>
      <w:r>
        <w:rPr>
          <w:rFonts w:hint="eastAsia" w:asciiTheme="minorEastAsia" w:hAnsiTheme="minorEastAsia" w:eastAsiaTheme="minorEastAsia" w:cstheme="minorEastAsia"/>
          <w:b/>
          <w:bCs/>
          <w:i w:val="0"/>
          <w:caps w:val="0"/>
          <w:color w:val="auto"/>
          <w:spacing w:val="8"/>
          <w:sz w:val="30"/>
          <w:szCs w:val="30"/>
          <w:shd w:val="clear" w:fill="FFFFFF"/>
          <w:lang w:val="en-US" w:eastAsia="zh-CN"/>
        </w:rPr>
        <w:t xml:space="preserve">评价结果高效应用  </w:t>
      </w:r>
      <w:r>
        <w:rPr>
          <w:rFonts w:hint="eastAsia" w:asciiTheme="minorEastAsia" w:hAnsiTheme="minorEastAsia" w:eastAsiaTheme="minorEastAsia" w:cstheme="minorEastAsia"/>
          <w:b w:val="0"/>
          <w:bCs w:val="0"/>
          <w:i w:val="0"/>
          <w:caps w:val="0"/>
          <w:color w:val="auto"/>
          <w:spacing w:val="8"/>
          <w:sz w:val="30"/>
          <w:szCs w:val="30"/>
          <w:shd w:val="clear" w:fill="FFFFFF"/>
          <w:lang w:val="en-US" w:eastAsia="zh-CN"/>
        </w:rPr>
        <w:t>将预算绩效结果纳入政府绩效和干部政绩考核体系，作为领导干部选拔任用、公务员考核的重要参考。将部门整体绩效评价结果与部门预算安排挂钩，结合部门履职需要，对整体绩效好、支出进度快的合理增加预算安排；对整体绩效较差、支出进度慢的相应减少部门专项业务经费预算安排。将专项资金、预算项目绩效评价结果与预算安排和政策调整挂钩，对绩效较好的专项资金和项目优先保障，对绩效一般的督促改进，对交叉重复、碎片化的政策和项目予以调整。</w:t>
      </w:r>
    </w:p>
    <w:p>
      <w:pPr>
        <w:widowControl/>
        <w:spacing w:line="580" w:lineRule="atLeast"/>
        <w:jc w:val="left"/>
        <w:rPr>
          <w:rFonts w:ascii="宋体" w:hAnsi="宋体" w:cs="宋体"/>
          <w:kern w:val="0"/>
          <w:sz w:val="32"/>
          <w:szCs w:val="32"/>
        </w:rPr>
      </w:pPr>
      <w:r>
        <w:rPr>
          <w:rFonts w:hint="eastAsia" w:ascii="宋体" w:hAnsi="宋体" w:cs="宋体"/>
          <w:kern w:val="0"/>
          <w:sz w:val="32"/>
          <w:szCs w:val="32"/>
        </w:rPr>
        <w:t xml:space="preserve">    </w:t>
      </w:r>
      <w:r>
        <w:rPr>
          <w:rFonts w:hint="eastAsia" w:ascii="黑体" w:hAnsi="黑体" w:eastAsia="黑体" w:cs="宋体"/>
          <w:kern w:val="0"/>
          <w:sz w:val="32"/>
          <w:szCs w:val="32"/>
        </w:rPr>
        <w:t>四、其他重要事项的解释说明</w:t>
      </w:r>
    </w:p>
    <w:p>
      <w:pPr>
        <w:widowControl/>
        <w:snapToGrid w:val="0"/>
        <w:spacing w:line="580" w:lineRule="atLeast"/>
        <w:ind w:firstLine="640"/>
        <w:jc w:val="left"/>
        <w:rPr>
          <w:rFonts w:hint="eastAsia" w:asciiTheme="minorEastAsia" w:hAnsiTheme="minorEastAsia" w:eastAsiaTheme="minorEastAsia" w:cstheme="minorEastAsia"/>
          <w:kern w:val="0"/>
          <w:sz w:val="32"/>
          <w:szCs w:val="32"/>
        </w:rPr>
      </w:pPr>
      <w:r>
        <w:rPr>
          <w:rFonts w:hint="eastAsia" w:asciiTheme="minorEastAsia" w:hAnsiTheme="minorEastAsia" w:eastAsiaTheme="minorEastAsia" w:cstheme="minorEastAsia"/>
          <w:kern w:val="0"/>
          <w:sz w:val="32"/>
          <w:szCs w:val="32"/>
        </w:rPr>
        <w:t>1、强化预算项目库管理。</w:t>
      </w:r>
    </w:p>
    <w:p>
      <w:pPr>
        <w:widowControl/>
        <w:snapToGrid w:val="0"/>
        <w:spacing w:line="580" w:lineRule="atLeast"/>
        <w:ind w:firstLine="640"/>
        <w:jc w:val="left"/>
        <w:rPr>
          <w:rFonts w:hint="eastAsia" w:asciiTheme="minorEastAsia" w:hAnsiTheme="minorEastAsia" w:eastAsiaTheme="minorEastAsia" w:cstheme="minorEastAsia"/>
          <w:kern w:val="0"/>
          <w:sz w:val="22"/>
          <w:szCs w:val="22"/>
        </w:rPr>
      </w:pPr>
      <w:r>
        <w:rPr>
          <w:rFonts w:hint="eastAsia" w:asciiTheme="minorEastAsia" w:hAnsiTheme="minorEastAsia" w:eastAsiaTheme="minorEastAsia" w:cstheme="minorEastAsia"/>
          <w:kern w:val="0"/>
          <w:sz w:val="32"/>
          <w:szCs w:val="32"/>
        </w:rPr>
        <w:t>完善“全口径”预算，一般公共预算、政府性基金预算、国有资本经营预算以及部门其他收入等安排的所有预算项目，全部纳入项目库管理，并应按规定组织项目论证、审查和入库，切实提高项目预算编制质量，保证项目要素内容完整详实、绩效目标指标量化科学、适用科目准确精细、预算级次编列得当。执行中预算科目、预算级次或者项目间的预算资金一般不得调整。</w:t>
      </w:r>
    </w:p>
    <w:p>
      <w:pPr>
        <w:widowControl/>
        <w:snapToGrid w:val="0"/>
        <w:spacing w:line="580" w:lineRule="atLeast"/>
        <w:ind w:firstLine="640"/>
        <w:jc w:val="left"/>
        <w:rPr>
          <w:rFonts w:hint="eastAsia" w:asciiTheme="minorEastAsia" w:hAnsiTheme="minorEastAsia" w:eastAsiaTheme="minorEastAsia" w:cstheme="minorEastAsia"/>
          <w:kern w:val="0"/>
          <w:sz w:val="22"/>
          <w:szCs w:val="22"/>
        </w:rPr>
      </w:pPr>
      <w:r>
        <w:rPr>
          <w:rFonts w:hint="eastAsia" w:asciiTheme="minorEastAsia" w:hAnsiTheme="minorEastAsia" w:eastAsiaTheme="minorEastAsia" w:cstheme="minorEastAsia"/>
          <w:kern w:val="0"/>
          <w:sz w:val="32"/>
          <w:szCs w:val="32"/>
        </w:rPr>
        <w:t>部门申报公共预算一般财力安排项目预算，应按2021年年初预算数掌握，严格控制公用经费项目，原则上不安排新增项目。对涉及个人和家庭补贴等方面有明确政策规定的新增支出，有明确要求或落实重大决策部署确需新增的资金或项目，报请县政府批准后，可按政策规定据实编制。</w:t>
      </w:r>
    </w:p>
    <w:p>
      <w:pPr>
        <w:widowControl/>
        <w:snapToGrid w:val="0"/>
        <w:spacing w:line="580" w:lineRule="atLeast"/>
        <w:ind w:firstLine="640"/>
        <w:jc w:val="left"/>
        <w:rPr>
          <w:rFonts w:hint="eastAsia" w:asciiTheme="minorEastAsia" w:hAnsiTheme="minorEastAsia" w:eastAsiaTheme="minorEastAsia" w:cstheme="minorEastAsia"/>
          <w:kern w:val="0"/>
          <w:sz w:val="22"/>
          <w:szCs w:val="22"/>
        </w:rPr>
      </w:pPr>
      <w:r>
        <w:rPr>
          <w:rFonts w:hint="eastAsia" w:asciiTheme="minorEastAsia" w:hAnsiTheme="minorEastAsia" w:eastAsiaTheme="minorEastAsia" w:cstheme="minorEastAsia"/>
          <w:kern w:val="0"/>
          <w:sz w:val="32"/>
          <w:szCs w:val="32"/>
        </w:rPr>
        <w:t>合理安排跨年度项目预算。对基建项目要核准年度预算支出，不成熟的项目不能列入年度预算；能够实施的，应根据工程进度，分年度安排农民工工资保证金等前期费用、项目建设资金、项目质保金等。对一般性跨年度项目，也要按照项目进度，分年度安排预算资金。属于以奖代补、年终考核奖励、先实施后清算的项目，应在项目实施完毕后的下一年度安排预算资金。</w:t>
      </w:r>
    </w:p>
    <w:p>
      <w:pPr>
        <w:widowControl/>
        <w:snapToGrid w:val="0"/>
        <w:spacing w:line="580" w:lineRule="atLeast"/>
        <w:ind w:firstLine="640"/>
        <w:jc w:val="left"/>
        <w:rPr>
          <w:rFonts w:hint="eastAsia" w:asciiTheme="minorEastAsia" w:hAnsiTheme="minorEastAsia" w:eastAsiaTheme="minorEastAsia" w:cstheme="minorEastAsia"/>
          <w:kern w:val="0"/>
          <w:sz w:val="22"/>
          <w:szCs w:val="22"/>
        </w:rPr>
      </w:pPr>
      <w:r>
        <w:rPr>
          <w:rFonts w:hint="eastAsia" w:asciiTheme="minorEastAsia" w:hAnsiTheme="minorEastAsia" w:eastAsiaTheme="minorEastAsia" w:cstheme="minorEastAsia"/>
          <w:kern w:val="0"/>
          <w:sz w:val="32"/>
          <w:szCs w:val="32"/>
        </w:rPr>
        <w:t>严格控制专项资金安排部门工作经费或项目管理费。专项资金不得用于部门人员和日常公用等基本支出，凡没有明确规定的不得安排部门工作经费或项目管理费，政策明确规定可安排项目管理费的，应按规定标准编制项目预算，作为部门专项业务费项目管理。</w:t>
      </w:r>
    </w:p>
    <w:p>
      <w:pPr>
        <w:widowControl/>
        <w:snapToGrid w:val="0"/>
        <w:spacing w:line="580" w:lineRule="atLeast"/>
        <w:ind w:firstLine="640"/>
        <w:jc w:val="left"/>
        <w:rPr>
          <w:rFonts w:hint="eastAsia" w:asciiTheme="minorEastAsia" w:hAnsiTheme="minorEastAsia" w:eastAsiaTheme="minorEastAsia" w:cstheme="minorEastAsia"/>
          <w:kern w:val="0"/>
          <w:sz w:val="22"/>
          <w:szCs w:val="22"/>
        </w:rPr>
      </w:pPr>
      <w:r>
        <w:rPr>
          <w:rFonts w:hint="eastAsia" w:asciiTheme="minorEastAsia" w:hAnsiTheme="minorEastAsia" w:eastAsiaTheme="minorEastAsia" w:cstheme="minorEastAsia"/>
          <w:kern w:val="0"/>
          <w:sz w:val="32"/>
          <w:szCs w:val="32"/>
        </w:rPr>
        <w:t>规范预算内基本建设和科技等专项资金预算编列。要按照 “部门职责—工作活动”以及绩效目标指标，按照县委、县政府决策部署和项目分配计划，落实细化项目，编报项目库和预算建议计划。</w:t>
      </w:r>
    </w:p>
    <w:p>
      <w:pPr>
        <w:widowControl/>
        <w:snapToGrid w:val="0"/>
        <w:spacing w:line="580" w:lineRule="atLeast"/>
        <w:ind w:firstLine="640"/>
        <w:jc w:val="left"/>
        <w:rPr>
          <w:rFonts w:hint="eastAsia" w:asciiTheme="minorEastAsia" w:hAnsiTheme="minorEastAsia" w:eastAsiaTheme="minorEastAsia" w:cstheme="minorEastAsia"/>
          <w:kern w:val="0"/>
          <w:sz w:val="32"/>
          <w:szCs w:val="32"/>
        </w:rPr>
      </w:pPr>
      <w:r>
        <w:rPr>
          <w:rFonts w:hint="eastAsia" w:asciiTheme="minorEastAsia" w:hAnsiTheme="minorEastAsia" w:eastAsiaTheme="minorEastAsia" w:cstheme="minorEastAsia"/>
          <w:sz w:val="32"/>
          <w:szCs w:val="32"/>
        </w:rPr>
        <w:t xml:space="preserve">  2、</w:t>
      </w:r>
      <w:r>
        <w:rPr>
          <w:rFonts w:hint="eastAsia" w:asciiTheme="minorEastAsia" w:hAnsiTheme="minorEastAsia" w:eastAsiaTheme="minorEastAsia" w:cstheme="minorEastAsia"/>
          <w:kern w:val="0"/>
          <w:sz w:val="32"/>
          <w:szCs w:val="32"/>
        </w:rPr>
        <w:t>统筹各类预算资金</w:t>
      </w:r>
    </w:p>
    <w:p>
      <w:pPr>
        <w:widowControl/>
        <w:snapToGrid w:val="0"/>
        <w:spacing w:line="580" w:lineRule="atLeast"/>
        <w:ind w:firstLine="640"/>
        <w:jc w:val="left"/>
        <w:rPr>
          <w:rFonts w:hint="eastAsia" w:asciiTheme="minorEastAsia" w:hAnsiTheme="minorEastAsia" w:eastAsiaTheme="minorEastAsia" w:cstheme="minorEastAsia"/>
          <w:kern w:val="0"/>
          <w:sz w:val="22"/>
          <w:szCs w:val="22"/>
        </w:rPr>
      </w:pPr>
      <w:r>
        <w:rPr>
          <w:rFonts w:hint="eastAsia" w:asciiTheme="minorEastAsia" w:hAnsiTheme="minorEastAsia" w:eastAsiaTheme="minorEastAsia" w:cstheme="minorEastAsia"/>
          <w:kern w:val="0"/>
          <w:sz w:val="32"/>
          <w:szCs w:val="32"/>
        </w:rPr>
        <w:t xml:space="preserve"> 强化一般公共预算各类资金的统筹，认真落实国家明确的取消部分一般公共预算专项收入专款专用的政策要求，按照轻重缓急统筹安排相关领域支出。强化政府性基金与一般公共预算的统筹，政府性基金预算安排支出的项目，一般公共预算不再安排或减少安排；与一般公共预算投向类似的，应调入一般公共预算统筹使用或制定统一的资金管理办法，实行统一的资金分配方式；政府性基金预算项目结转较多的资金，应按规定调入一般公共预算统筹使用，每一项政府性基金结转资金规模一般不超过该项基金当年收入的30%。强化国有资本经营预算与一般公共预算的统筹，严格落实省政府批准的国有资本经营收益上缴和调入一般公共预算的比例。</w:t>
      </w:r>
    </w:p>
    <w:p>
      <w:pPr>
        <w:widowControl/>
        <w:snapToGrid w:val="0"/>
        <w:spacing w:line="580" w:lineRule="atLeast"/>
        <w:ind w:firstLine="640"/>
        <w:jc w:val="left"/>
        <w:rPr>
          <w:rFonts w:hint="eastAsia" w:asciiTheme="minorEastAsia" w:hAnsiTheme="minorEastAsia" w:eastAsiaTheme="minorEastAsia" w:cstheme="minorEastAsia"/>
          <w:kern w:val="0"/>
          <w:sz w:val="22"/>
          <w:szCs w:val="22"/>
        </w:rPr>
      </w:pPr>
      <w:r>
        <w:rPr>
          <w:rFonts w:hint="eastAsia" w:asciiTheme="minorEastAsia" w:hAnsiTheme="minorEastAsia" w:eastAsiaTheme="minorEastAsia" w:cstheme="minorEastAsia"/>
          <w:kern w:val="0"/>
          <w:sz w:val="32"/>
          <w:szCs w:val="32"/>
        </w:rPr>
        <w:t>统筹上级转移支付资金。将中央省税收返还、提前通知转移支付资金全部列入县级收入预算，统筹安排县乡支出，切实提高预算完整性。</w:t>
      </w:r>
    </w:p>
    <w:p>
      <w:pPr>
        <w:widowControl/>
        <w:snapToGrid w:val="0"/>
        <w:spacing w:line="580" w:lineRule="atLeast"/>
        <w:ind w:firstLine="640"/>
        <w:jc w:val="left"/>
        <w:rPr>
          <w:rFonts w:hint="eastAsia" w:asciiTheme="minorEastAsia" w:hAnsiTheme="minorEastAsia" w:eastAsiaTheme="minorEastAsia" w:cstheme="minorEastAsia"/>
          <w:kern w:val="0"/>
          <w:sz w:val="22"/>
          <w:szCs w:val="22"/>
        </w:rPr>
      </w:pPr>
      <w:r>
        <w:rPr>
          <w:rFonts w:hint="eastAsia" w:asciiTheme="minorEastAsia" w:hAnsiTheme="minorEastAsia" w:eastAsiaTheme="minorEastAsia" w:cstheme="minorEastAsia"/>
          <w:kern w:val="0"/>
          <w:sz w:val="32"/>
          <w:szCs w:val="32"/>
        </w:rPr>
        <w:t xml:space="preserve"> 统筹部门存量资金。2020年部门预算安排项目资金中当年尚未完成、且确需下年度继续实施的，可按规定继续结转；2019年及以前年度部门预算结余结转资金（包括部门银行账户财政性资金结余）和2020年部门预算不再使用的项目结余资金，按照国家政策规定一律收回县财政统筹安排2021年预算。同时，对连续两年结转资金规模较大的部门，将适当压缩2021年财政拨款预算。</w:t>
      </w:r>
    </w:p>
    <w:p>
      <w:pPr>
        <w:widowControl/>
        <w:snapToGrid w:val="0"/>
        <w:spacing w:line="580" w:lineRule="atLeast"/>
        <w:ind w:firstLine="640"/>
        <w:jc w:val="left"/>
        <w:rPr>
          <w:rFonts w:hint="eastAsia" w:asciiTheme="minorEastAsia" w:hAnsiTheme="minorEastAsia" w:eastAsiaTheme="minorEastAsia" w:cstheme="minorEastAsia"/>
          <w:kern w:val="0"/>
          <w:sz w:val="22"/>
          <w:szCs w:val="22"/>
        </w:rPr>
      </w:pPr>
      <w:r>
        <w:rPr>
          <w:rFonts w:hint="eastAsia" w:asciiTheme="minorEastAsia" w:hAnsiTheme="minorEastAsia" w:eastAsiaTheme="minorEastAsia" w:cstheme="minorEastAsia"/>
          <w:kern w:val="0"/>
          <w:sz w:val="32"/>
          <w:szCs w:val="32"/>
        </w:rPr>
        <w:t xml:space="preserve"> 项目预算安排与上年执行挂钩。根据2020年上半年和10月底支出进度测算扣减系数，相应核减2021年同类资金预算。</w:t>
      </w:r>
    </w:p>
    <w:p>
      <w:pPr>
        <w:rPr>
          <w:rFonts w:hint="eastAsia" w:asciiTheme="minorEastAsia" w:hAnsiTheme="minorEastAsia" w:eastAsiaTheme="minorEastAsia" w:cstheme="minorEastAsia"/>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4"/>
      <w:tblW w:w="8536" w:type="dxa"/>
      <w:tblInd w:w="0" w:type="dxa"/>
      <w:tblBorders>
        <w:top w:val="none" w:color="auto" w:sz="0" w:space="0"/>
        <w:left w:val="none" w:color="auto" w:sz="0" w:space="0"/>
        <w:bottom w:val="none" w:color="auto" w:sz="0" w:space="0"/>
        <w:right w:val="none" w:color="auto" w:sz="0" w:space="0"/>
        <w:insideH w:val="none" w:color="auto" w:sz="0" w:space="0"/>
        <w:insideV w:val="single" w:color="4F81BD" w:themeColor="accent1" w:sz="18" w:space="0"/>
      </w:tblBorders>
      <w:tblLayout w:type="fixed"/>
      <w:tblCellMar>
        <w:top w:w="58" w:type="dxa"/>
        <w:left w:w="115" w:type="dxa"/>
        <w:bottom w:w="58" w:type="dxa"/>
        <w:right w:w="115" w:type="dxa"/>
      </w:tblCellMar>
    </w:tblPr>
    <w:tblGrid>
      <w:gridCol w:w="1280"/>
      <w:gridCol w:w="7256"/>
    </w:tblGrid>
    <w:tr>
      <w:tblPrEx>
        <w:tblBorders>
          <w:top w:val="none" w:color="auto" w:sz="0" w:space="0"/>
          <w:left w:val="none" w:color="auto" w:sz="0" w:space="0"/>
          <w:bottom w:val="none" w:color="auto" w:sz="0" w:space="0"/>
          <w:right w:val="none" w:color="auto" w:sz="0" w:space="0"/>
          <w:insideH w:val="none" w:color="auto" w:sz="0" w:space="0"/>
          <w:insideV w:val="single" w:color="4F81BD" w:themeColor="accent1" w:sz="18" w:space="0"/>
        </w:tblBorders>
        <w:tblCellMar>
          <w:top w:w="58" w:type="dxa"/>
          <w:left w:w="115" w:type="dxa"/>
          <w:bottom w:w="58" w:type="dxa"/>
          <w:right w:w="115" w:type="dxa"/>
        </w:tblCellMar>
      </w:tblPrEx>
      <w:tc>
        <w:tcPr>
          <w:tcW w:w="1280" w:type="dxa"/>
        </w:tcPr>
        <w:p>
          <w:pPr>
            <w:pStyle w:val="2"/>
            <w:jc w:val="right"/>
            <w:rPr>
              <w:color w:val="4F81BD" w:themeColor="accent1"/>
            </w:rPr>
          </w:pPr>
          <w:r>
            <w:fldChar w:fldCharType="begin"/>
          </w:r>
          <w:r>
            <w:instrText xml:space="preserve"> PAGE   \* MERGEFORMAT </w:instrText>
          </w:r>
          <w:r>
            <w:fldChar w:fldCharType="separate"/>
          </w:r>
          <w:r>
            <w:rPr>
              <w:color w:val="4F81BD" w:themeColor="accent1"/>
              <w:lang w:val="zh-CN"/>
            </w:rPr>
            <w:t>1</w:t>
          </w:r>
          <w:r>
            <w:rPr>
              <w:color w:val="4F81BD" w:themeColor="accent1"/>
              <w:lang w:val="zh-CN"/>
            </w:rPr>
            <w:fldChar w:fldCharType="end"/>
          </w:r>
        </w:p>
      </w:tc>
      <w:tc>
        <w:tcPr>
          <w:tcW w:w="7256" w:type="dxa"/>
        </w:tcPr>
        <w:p>
          <w:pPr>
            <w:pStyle w:val="2"/>
            <w:rPr>
              <w:color w:val="4F81BD" w:themeColor="accent1"/>
            </w:rPr>
          </w:pPr>
        </w:p>
      </w:tc>
    </w:tr>
  </w:tbl>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dit="readOnly" w:enforcement="1" w:cryptProviderType="rsaFull" w:cryptAlgorithmClass="hash" w:cryptAlgorithmType="typeAny" w:cryptAlgorithmSid="4" w:cryptSpinCount="0" w:hash="KKLDLIDWA3EGWyB4VdQwdz+HOXM=" w:salt="uEj/wjJ/kSAfLzBPlE0vYQ=="/>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B107E0"/>
    <w:rsid w:val="0002173E"/>
    <w:rsid w:val="000444CD"/>
    <w:rsid w:val="0005424D"/>
    <w:rsid w:val="000637A0"/>
    <w:rsid w:val="000871E8"/>
    <w:rsid w:val="000A7D58"/>
    <w:rsid w:val="000B766B"/>
    <w:rsid w:val="000D00D8"/>
    <w:rsid w:val="000E60BB"/>
    <w:rsid w:val="00130455"/>
    <w:rsid w:val="001468AD"/>
    <w:rsid w:val="00152BF7"/>
    <w:rsid w:val="00154420"/>
    <w:rsid w:val="001847CE"/>
    <w:rsid w:val="00196D35"/>
    <w:rsid w:val="001D2FD1"/>
    <w:rsid w:val="001F4AB9"/>
    <w:rsid w:val="0020459B"/>
    <w:rsid w:val="00295CFA"/>
    <w:rsid w:val="002C1023"/>
    <w:rsid w:val="002F20ED"/>
    <w:rsid w:val="00304E1C"/>
    <w:rsid w:val="00325CAD"/>
    <w:rsid w:val="00326759"/>
    <w:rsid w:val="00347054"/>
    <w:rsid w:val="0035327E"/>
    <w:rsid w:val="003665F6"/>
    <w:rsid w:val="0036796C"/>
    <w:rsid w:val="00380E55"/>
    <w:rsid w:val="003E1F5D"/>
    <w:rsid w:val="00400E16"/>
    <w:rsid w:val="00406CF1"/>
    <w:rsid w:val="004A5D02"/>
    <w:rsid w:val="004B315A"/>
    <w:rsid w:val="004D1EB6"/>
    <w:rsid w:val="004D4FA7"/>
    <w:rsid w:val="004F5415"/>
    <w:rsid w:val="005872B7"/>
    <w:rsid w:val="005B428A"/>
    <w:rsid w:val="005C4267"/>
    <w:rsid w:val="005C7E54"/>
    <w:rsid w:val="005D765A"/>
    <w:rsid w:val="005E3ED0"/>
    <w:rsid w:val="00600C09"/>
    <w:rsid w:val="006677A3"/>
    <w:rsid w:val="006B0855"/>
    <w:rsid w:val="006B4CD6"/>
    <w:rsid w:val="006C368D"/>
    <w:rsid w:val="006E75AA"/>
    <w:rsid w:val="006F136D"/>
    <w:rsid w:val="006F5CDD"/>
    <w:rsid w:val="006F63DB"/>
    <w:rsid w:val="007120BF"/>
    <w:rsid w:val="007145E9"/>
    <w:rsid w:val="00724A4E"/>
    <w:rsid w:val="00743ACA"/>
    <w:rsid w:val="00752A42"/>
    <w:rsid w:val="00775958"/>
    <w:rsid w:val="007814E7"/>
    <w:rsid w:val="0081181E"/>
    <w:rsid w:val="008158D3"/>
    <w:rsid w:val="00833B0F"/>
    <w:rsid w:val="00841A62"/>
    <w:rsid w:val="00862A25"/>
    <w:rsid w:val="00864F6D"/>
    <w:rsid w:val="00876B9E"/>
    <w:rsid w:val="008957EB"/>
    <w:rsid w:val="008A3065"/>
    <w:rsid w:val="008A5BC4"/>
    <w:rsid w:val="008E15CE"/>
    <w:rsid w:val="00932B2F"/>
    <w:rsid w:val="00942F9C"/>
    <w:rsid w:val="00957768"/>
    <w:rsid w:val="00991D0A"/>
    <w:rsid w:val="009E3390"/>
    <w:rsid w:val="009F5E09"/>
    <w:rsid w:val="00A537D5"/>
    <w:rsid w:val="00A5546F"/>
    <w:rsid w:val="00A92FB4"/>
    <w:rsid w:val="00A95143"/>
    <w:rsid w:val="00AA5900"/>
    <w:rsid w:val="00AE2545"/>
    <w:rsid w:val="00B107E0"/>
    <w:rsid w:val="00B23D63"/>
    <w:rsid w:val="00B450D5"/>
    <w:rsid w:val="00B83E43"/>
    <w:rsid w:val="00B852A1"/>
    <w:rsid w:val="00BB74E8"/>
    <w:rsid w:val="00BF4AA6"/>
    <w:rsid w:val="00C12E14"/>
    <w:rsid w:val="00C221A8"/>
    <w:rsid w:val="00C53D4A"/>
    <w:rsid w:val="00C616C0"/>
    <w:rsid w:val="00C67399"/>
    <w:rsid w:val="00C825ED"/>
    <w:rsid w:val="00CC0185"/>
    <w:rsid w:val="00D115A1"/>
    <w:rsid w:val="00D33C87"/>
    <w:rsid w:val="00D77E5E"/>
    <w:rsid w:val="00D83E64"/>
    <w:rsid w:val="00D929C0"/>
    <w:rsid w:val="00DA3ADB"/>
    <w:rsid w:val="00DB26F9"/>
    <w:rsid w:val="00DE54AF"/>
    <w:rsid w:val="00E0531E"/>
    <w:rsid w:val="00E06E15"/>
    <w:rsid w:val="00E14D7E"/>
    <w:rsid w:val="00E31C4F"/>
    <w:rsid w:val="00E53C5D"/>
    <w:rsid w:val="00E577B6"/>
    <w:rsid w:val="00E954AD"/>
    <w:rsid w:val="00E973E0"/>
    <w:rsid w:val="00EA5AA9"/>
    <w:rsid w:val="00EB3EA1"/>
    <w:rsid w:val="00EF6EBB"/>
    <w:rsid w:val="00F07274"/>
    <w:rsid w:val="00F20C1E"/>
    <w:rsid w:val="00F75292"/>
    <w:rsid w:val="00F82A02"/>
    <w:rsid w:val="00F91255"/>
    <w:rsid w:val="00F9441E"/>
    <w:rsid w:val="13F978B8"/>
    <w:rsid w:val="168977DC"/>
    <w:rsid w:val="1A8A6DA3"/>
    <w:rsid w:val="1AA01370"/>
    <w:rsid w:val="1DA55ADB"/>
    <w:rsid w:val="1ED91DA2"/>
    <w:rsid w:val="211256E5"/>
    <w:rsid w:val="225B037C"/>
    <w:rsid w:val="283739A2"/>
    <w:rsid w:val="2A28529B"/>
    <w:rsid w:val="2FA87532"/>
    <w:rsid w:val="418D0221"/>
    <w:rsid w:val="45DF2F67"/>
    <w:rsid w:val="4EDD53F7"/>
    <w:rsid w:val="60161D30"/>
    <w:rsid w:val="6B0E2689"/>
    <w:rsid w:val="71B30F73"/>
    <w:rsid w:val="7CE95E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Char"/>
    <w:basedOn w:val="1"/>
    <w:qFormat/>
    <w:uiPriority w:val="0"/>
    <w:pPr>
      <w:spacing w:line="360" w:lineRule="auto"/>
    </w:pPr>
    <w:rPr>
      <w:rFonts w:ascii="Tahoma" w:hAnsi="Tahoma"/>
      <w:sz w:val="24"/>
      <w:szCs w:val="20"/>
    </w:rPr>
  </w:style>
  <w:style w:type="paragraph" w:customStyle="1" w:styleId="9">
    <w:name w:val="Char1"/>
    <w:basedOn w:val="1"/>
    <w:qFormat/>
    <w:uiPriority w:val="0"/>
    <w:pPr>
      <w:spacing w:line="360" w:lineRule="auto"/>
    </w:pPr>
    <w:rPr>
      <w:rFonts w:ascii="Tahoma" w:hAnsi="Tahoma"/>
      <w:sz w:val="24"/>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2499</Words>
  <Characters>276</Characters>
  <Lines>2</Lines>
  <Paragraphs>5</Paragraphs>
  <TotalTime>1</TotalTime>
  <ScaleCrop>false</ScaleCrop>
  <LinksUpToDate>false</LinksUpToDate>
  <CharactersWithSpaces>2770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2021-03-03T08:31:00Z</dcterms:created>
  <dc:creator>[预算股][吴立杰]</dc:creator>
  <cp:lastModifiedBy>葱葱</cp:lastModifiedBy>
  <cp:lastPrinted>2019-02-25T05:54:00Z</cp:lastPrinted>
  <dcterms:modified xsi:type="dcterms:W3CDTF">2021-03-04T02:22:21Z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