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宋体" w:hAnsi="宋体" w:eastAsia="宋体" w:cs="宋体"/>
          <w:b/>
          <w:bCs/>
          <w:kern w:val="0"/>
          <w:sz w:val="44"/>
          <w:szCs w:val="44"/>
        </w:rPr>
      </w:pPr>
      <w:bookmarkStart w:id="0" w:name="_GoBack"/>
      <w:bookmarkEnd w:id="0"/>
    </w:p>
    <w:p>
      <w:pPr>
        <w:widowControl/>
        <w:jc w:val="center"/>
        <w:rPr>
          <w:rFonts w:ascii="宋体" w:hAnsi="宋体" w:eastAsia="宋体" w:cs="宋体"/>
          <w:b/>
          <w:bCs/>
          <w:kern w:val="0"/>
          <w:sz w:val="44"/>
          <w:szCs w:val="44"/>
        </w:rPr>
      </w:pPr>
      <w:r>
        <w:rPr>
          <w:rFonts w:hint="eastAsia" w:ascii="宋体" w:hAnsi="宋体" w:eastAsia="宋体" w:cs="宋体"/>
          <w:b/>
          <w:bCs/>
          <w:kern w:val="0"/>
          <w:sz w:val="44"/>
          <w:szCs w:val="44"/>
        </w:rPr>
        <w:t>隆尧县</w:t>
      </w:r>
      <w:r>
        <w:rPr>
          <w:rFonts w:hint="eastAsia" w:ascii="宋体" w:hAnsi="宋体" w:eastAsia="宋体" w:cs="宋体"/>
          <w:b/>
          <w:bCs/>
          <w:kern w:val="0"/>
          <w:sz w:val="44"/>
          <w:szCs w:val="44"/>
          <w:lang w:val="en-US" w:eastAsia="zh-CN"/>
        </w:rPr>
        <w:t>纪委</w:t>
      </w:r>
    </w:p>
    <w:p>
      <w:pPr>
        <w:widowControl/>
        <w:jc w:val="center"/>
        <w:rPr>
          <w:rFonts w:ascii="宋体" w:hAnsi="宋体" w:eastAsia="宋体" w:cs="宋体"/>
          <w:b/>
          <w:bCs/>
          <w:kern w:val="0"/>
          <w:sz w:val="44"/>
          <w:szCs w:val="44"/>
        </w:rPr>
      </w:pPr>
      <w:r>
        <w:rPr>
          <w:rFonts w:hint="eastAsia" w:ascii="宋体" w:hAnsi="宋体" w:eastAsia="宋体" w:cs="宋体"/>
          <w:b/>
          <w:bCs/>
          <w:kern w:val="0"/>
          <w:sz w:val="44"/>
          <w:szCs w:val="44"/>
        </w:rPr>
        <w:t>2021年</w:t>
      </w:r>
      <w:r>
        <w:rPr>
          <w:rFonts w:hint="eastAsia" w:ascii="宋体" w:hAnsi="宋体" w:eastAsia="宋体" w:cs="宋体"/>
          <w:b/>
          <w:bCs/>
          <w:kern w:val="0"/>
          <w:sz w:val="44"/>
          <w:szCs w:val="44"/>
          <w:lang w:val="en-US" w:eastAsia="zh-CN"/>
        </w:rPr>
        <w:t>执纪执法经费</w:t>
      </w:r>
      <w:r>
        <w:rPr>
          <w:rFonts w:hint="eastAsia" w:ascii="宋体" w:hAnsi="宋体" w:eastAsia="宋体" w:cs="宋体"/>
          <w:b/>
          <w:bCs/>
          <w:kern w:val="0"/>
          <w:sz w:val="44"/>
          <w:szCs w:val="44"/>
        </w:rPr>
        <w:t>绩效评价</w:t>
      </w:r>
    </w:p>
    <w:p>
      <w:pPr>
        <w:widowControl/>
        <w:jc w:val="center"/>
        <w:rPr>
          <w:rFonts w:ascii="宋体" w:hAnsi="宋体" w:eastAsia="宋体" w:cs="宋体"/>
          <w:b/>
          <w:bCs/>
          <w:kern w:val="0"/>
          <w:sz w:val="44"/>
          <w:szCs w:val="44"/>
        </w:rPr>
      </w:pPr>
      <w:r>
        <w:rPr>
          <w:rFonts w:hint="eastAsia" w:ascii="宋体" w:hAnsi="宋体" w:eastAsia="宋体" w:cs="宋体"/>
          <w:b/>
          <w:bCs/>
          <w:kern w:val="0"/>
          <w:sz w:val="44"/>
          <w:szCs w:val="44"/>
        </w:rPr>
        <w:t>自评报告</w:t>
      </w:r>
    </w:p>
    <w:p>
      <w:pPr>
        <w:widowControl/>
        <w:rPr>
          <w:rFonts w:ascii="黑体" w:hAnsi="黑体" w:eastAsia="黑体" w:cs="宋体"/>
          <w:b/>
          <w:bCs/>
          <w:kern w:val="0"/>
          <w:sz w:val="44"/>
          <w:szCs w:val="44"/>
        </w:rPr>
      </w:pPr>
    </w:p>
    <w:p>
      <w:pPr>
        <w:pStyle w:val="9"/>
        <w:widowControl/>
        <w:numPr>
          <w:ilvl w:val="0"/>
          <w:numId w:val="1"/>
        </w:numPr>
        <w:ind w:firstLineChars="0"/>
        <w:rPr>
          <w:rFonts w:ascii="黑体" w:hAnsi="黑体" w:eastAsia="黑体" w:cs="宋体"/>
          <w:b/>
          <w:bCs/>
          <w:kern w:val="0"/>
          <w:sz w:val="32"/>
          <w:szCs w:val="32"/>
        </w:rPr>
      </w:pPr>
      <w:r>
        <w:rPr>
          <w:rFonts w:hint="eastAsia" w:ascii="黑体" w:hAnsi="黑体" w:eastAsia="黑体" w:cs="宋体"/>
          <w:b/>
          <w:bCs/>
          <w:kern w:val="0"/>
          <w:sz w:val="32"/>
          <w:szCs w:val="32"/>
        </w:rPr>
        <w:t>项目概况</w:t>
      </w:r>
    </w:p>
    <w:p>
      <w:pPr>
        <w:keepNext w:val="0"/>
        <w:keepLines w:val="0"/>
        <w:pageBreakBefore w:val="0"/>
        <w:numPr>
          <w:ilvl w:val="0"/>
          <w:numId w:val="2"/>
        </w:numPr>
        <w:kinsoku/>
        <w:wordWrap/>
        <w:overflowPunct/>
        <w:topLinePunct w:val="0"/>
        <w:autoSpaceDE/>
        <w:autoSpaceDN/>
        <w:bidi w:val="0"/>
        <w:adjustRightInd/>
        <w:snapToGrid/>
        <w:spacing w:line="240" w:lineRule="auto"/>
        <w:ind w:left="0" w:leftChars="0" w:right="0" w:rightChars="0" w:firstLine="640" w:firstLineChars="200"/>
        <w:textAlignment w:val="auto"/>
        <w:rPr>
          <w:rFonts w:hint="default" w:ascii="仿宋" w:hAnsi="仿宋" w:eastAsia="仿宋" w:cs="宋体"/>
          <w:kern w:val="0"/>
          <w:sz w:val="32"/>
          <w:szCs w:val="32"/>
          <w:lang w:val="en-US" w:eastAsia="zh-CN"/>
        </w:rPr>
      </w:pPr>
      <w:r>
        <w:rPr>
          <w:rFonts w:hint="eastAsia" w:ascii="仿宋" w:hAnsi="仿宋" w:eastAsia="仿宋" w:cs="宋体"/>
          <w:kern w:val="0"/>
          <w:sz w:val="32"/>
          <w:szCs w:val="32"/>
        </w:rPr>
        <w:t>政府战略规划或目标。</w:t>
      </w:r>
      <w:r>
        <w:rPr>
          <w:rFonts w:hint="eastAsia" w:ascii="仿宋" w:hAnsi="仿宋" w:eastAsia="仿宋" w:cs="仿宋"/>
          <w:sz w:val="32"/>
          <w:szCs w:val="32"/>
          <w:lang w:eastAsia="zh-CN"/>
        </w:rPr>
        <w:t>保障执纪问责工作顺利进行，确保党的各项方针政策落到实处，坚决查处违纪违法案件。</w:t>
      </w:r>
    </w:p>
    <w:p>
      <w:pPr>
        <w:keepNext w:val="0"/>
        <w:keepLines w:val="0"/>
        <w:pageBreakBefore w:val="0"/>
        <w:numPr>
          <w:ilvl w:val="0"/>
          <w:numId w:val="2"/>
        </w:numPr>
        <w:kinsoku/>
        <w:wordWrap/>
        <w:overflowPunct/>
        <w:topLinePunct w:val="0"/>
        <w:autoSpaceDE/>
        <w:autoSpaceDN/>
        <w:bidi w:val="0"/>
        <w:adjustRightInd/>
        <w:snapToGrid/>
        <w:spacing w:line="240" w:lineRule="auto"/>
        <w:ind w:left="0" w:leftChars="0" w:right="0" w:rightChars="0" w:firstLine="640" w:firstLineChars="200"/>
        <w:textAlignment w:val="auto"/>
        <w:rPr>
          <w:rFonts w:hint="eastAsia" w:ascii="仿宋" w:hAnsi="仿宋" w:eastAsia="仿宋" w:cs="仿宋"/>
          <w:sz w:val="32"/>
          <w:szCs w:val="32"/>
        </w:rPr>
      </w:pPr>
      <w:r>
        <w:rPr>
          <w:rFonts w:hint="eastAsia" w:ascii="仿宋" w:hAnsi="仿宋" w:eastAsia="仿宋" w:cs="宋体"/>
          <w:kern w:val="0"/>
          <w:sz w:val="32"/>
          <w:szCs w:val="32"/>
        </w:rPr>
        <w:t>单位工作目标。</w:t>
      </w:r>
      <w:r>
        <w:rPr>
          <w:rFonts w:hint="eastAsia" w:ascii="仿宋" w:hAnsi="仿宋" w:eastAsia="仿宋" w:cs="仿宋"/>
          <w:sz w:val="32"/>
          <w:szCs w:val="32"/>
          <w:lang w:eastAsia="zh-CN"/>
        </w:rPr>
        <w:t>巡视发现问题线索查结率；群众举报问题线索查结率。</w:t>
      </w:r>
    </w:p>
    <w:p>
      <w:pPr>
        <w:keepNext w:val="0"/>
        <w:keepLines w:val="0"/>
        <w:pageBreakBefore w:val="0"/>
        <w:numPr>
          <w:ilvl w:val="0"/>
          <w:numId w:val="2"/>
        </w:numPr>
        <w:kinsoku/>
        <w:wordWrap/>
        <w:overflowPunct/>
        <w:topLinePunct w:val="0"/>
        <w:autoSpaceDE/>
        <w:autoSpaceDN/>
        <w:bidi w:val="0"/>
        <w:adjustRightInd/>
        <w:snapToGrid/>
        <w:spacing w:line="240" w:lineRule="auto"/>
        <w:ind w:left="0" w:leftChars="0" w:right="0" w:rightChars="0" w:firstLine="640" w:firstLineChars="200"/>
        <w:textAlignment w:val="auto"/>
        <w:rPr>
          <w:rFonts w:hint="eastAsia" w:ascii="仿宋" w:hAnsi="仿宋" w:eastAsia="仿宋" w:cs="宋体"/>
          <w:kern w:val="0"/>
          <w:sz w:val="32"/>
          <w:szCs w:val="32"/>
        </w:rPr>
      </w:pPr>
      <w:r>
        <w:rPr>
          <w:rFonts w:hint="eastAsia" w:ascii="仿宋" w:hAnsi="仿宋" w:eastAsia="仿宋" w:cs="宋体"/>
          <w:kern w:val="0"/>
          <w:sz w:val="32"/>
          <w:szCs w:val="32"/>
          <w:lang w:val="en-US" w:eastAsia="zh-CN"/>
        </w:rPr>
        <w:t>项目</w:t>
      </w:r>
      <w:r>
        <w:rPr>
          <w:rFonts w:hint="eastAsia" w:ascii="仿宋" w:hAnsi="仿宋" w:eastAsia="仿宋" w:cs="宋体"/>
          <w:kern w:val="0"/>
          <w:sz w:val="32"/>
          <w:szCs w:val="32"/>
        </w:rPr>
        <w:t>基本情况。</w:t>
      </w:r>
    </w:p>
    <w:p>
      <w:pPr>
        <w:widowControl/>
        <w:ind w:left="281" w:leftChars="134"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1、项目背景资料。</w:t>
      </w:r>
    </w:p>
    <w:p>
      <w:pPr>
        <w:widowControl/>
        <w:numPr>
          <w:ilvl w:val="0"/>
          <w:numId w:val="0"/>
        </w:numPr>
        <w:ind w:left="320" w:leftChars="0" w:firstLine="640" w:firstLineChars="200"/>
        <w:rPr>
          <w:rFonts w:hint="eastAsia" w:ascii="仿宋" w:hAnsi="仿宋" w:eastAsia="仿宋" w:cs="宋体"/>
          <w:kern w:val="0"/>
          <w:sz w:val="32"/>
          <w:szCs w:val="32"/>
          <w:lang w:val="en-US" w:eastAsia="zh-CN"/>
        </w:rPr>
      </w:pPr>
      <w:r>
        <w:rPr>
          <w:rFonts w:hint="eastAsia" w:ascii="仿宋" w:hAnsi="仿宋" w:eastAsia="仿宋" w:cs="宋体"/>
          <w:kern w:val="0"/>
          <w:sz w:val="32"/>
          <w:szCs w:val="32"/>
          <w:lang w:val="en-US" w:eastAsia="zh-CN"/>
        </w:rPr>
        <w:t>项目名称：执法经费</w:t>
      </w:r>
    </w:p>
    <w:p>
      <w:pPr>
        <w:keepNext w:val="0"/>
        <w:keepLines w:val="0"/>
        <w:pageBreakBefore w:val="0"/>
        <w:numPr>
          <w:ilvl w:val="0"/>
          <w:numId w:val="0"/>
        </w:numPr>
        <w:kinsoku/>
        <w:wordWrap/>
        <w:overflowPunct/>
        <w:topLinePunct w:val="0"/>
        <w:autoSpaceDE/>
        <w:autoSpaceDN/>
        <w:bidi w:val="0"/>
        <w:adjustRightInd/>
        <w:snapToGrid/>
        <w:spacing w:line="240" w:lineRule="auto"/>
        <w:ind w:left="0" w:leftChars="0" w:right="0" w:rightChars="0" w:firstLine="960" w:firstLineChars="300"/>
        <w:textAlignment w:val="auto"/>
        <w:rPr>
          <w:rFonts w:hint="eastAsia" w:ascii="仿宋" w:hAnsi="仿宋" w:eastAsia="仿宋" w:cs="仿宋"/>
          <w:sz w:val="32"/>
          <w:szCs w:val="32"/>
        </w:rPr>
      </w:pPr>
      <w:r>
        <w:rPr>
          <w:rFonts w:hint="eastAsia" w:ascii="仿宋" w:hAnsi="仿宋" w:eastAsia="仿宋" w:cs="宋体"/>
          <w:kern w:val="0"/>
          <w:sz w:val="32"/>
          <w:szCs w:val="32"/>
          <w:lang w:val="en-US" w:eastAsia="zh-CN"/>
        </w:rPr>
        <w:t>主要内容：保障执纪问责工作顺利进行，确保党的各项方针政策落到实处，坚决查处违纪违法案件。</w:t>
      </w:r>
    </w:p>
    <w:p>
      <w:pPr>
        <w:widowControl/>
        <w:numPr>
          <w:ilvl w:val="0"/>
          <w:numId w:val="0"/>
        </w:numPr>
        <w:ind w:left="320" w:leftChars="0" w:firstLine="640" w:firstLineChars="200"/>
        <w:rPr>
          <w:rFonts w:hint="eastAsia" w:ascii="仿宋" w:hAnsi="仿宋" w:eastAsia="仿宋" w:cs="宋体"/>
          <w:kern w:val="0"/>
          <w:sz w:val="32"/>
          <w:szCs w:val="32"/>
          <w:lang w:val="en-US" w:eastAsia="zh-CN"/>
        </w:rPr>
      </w:pPr>
      <w:r>
        <w:rPr>
          <w:rFonts w:hint="eastAsia" w:ascii="仿宋" w:hAnsi="仿宋" w:eastAsia="仿宋" w:cs="宋体"/>
          <w:kern w:val="0"/>
          <w:sz w:val="32"/>
          <w:szCs w:val="32"/>
          <w:lang w:val="en-US" w:eastAsia="zh-CN"/>
        </w:rPr>
        <w:t>主要解决的问题：保障执纪问责工作顺利进行，确保党的各项方针政策落到实处，坚决查处违纪违法案件。</w:t>
      </w:r>
    </w:p>
    <w:p>
      <w:pPr>
        <w:widowControl/>
        <w:numPr>
          <w:ilvl w:val="0"/>
          <w:numId w:val="0"/>
        </w:numPr>
        <w:ind w:left="320" w:leftChars="0" w:firstLine="640" w:firstLineChars="200"/>
        <w:rPr>
          <w:rFonts w:hint="eastAsia" w:ascii="仿宋" w:hAnsi="仿宋" w:eastAsia="仿宋" w:cs="宋体"/>
          <w:kern w:val="0"/>
          <w:sz w:val="32"/>
          <w:szCs w:val="32"/>
          <w:lang w:eastAsia="zh-CN"/>
        </w:rPr>
      </w:pPr>
      <w:r>
        <w:rPr>
          <w:rFonts w:hint="eastAsia" w:ascii="仿宋" w:hAnsi="仿宋" w:eastAsia="仿宋" w:cs="宋体"/>
          <w:kern w:val="0"/>
          <w:sz w:val="32"/>
          <w:szCs w:val="32"/>
          <w:lang w:val="en-US" w:eastAsia="zh-CN"/>
        </w:rPr>
        <w:t>项目实施依据：</w:t>
      </w:r>
      <w:r>
        <w:rPr>
          <w:rFonts w:hint="eastAsia" w:ascii="仿宋" w:hAnsi="仿宋" w:eastAsia="仿宋" w:cs="宋体"/>
          <w:kern w:val="0"/>
          <w:sz w:val="32"/>
          <w:szCs w:val="32"/>
          <w:lang w:val="zh-CN" w:eastAsia="zh-CN"/>
        </w:rPr>
        <w:t>依据《中国共产党章程》要求，党的各级纪律检查委员会的职责是监督执纪问责，要经常对党员进行遵守纪律的教育，做出关于维护党纪的决定；对党的组织和党员领导干部履行职责、行使权力进行监督，受理处置党员群众检举举报，开展谈话提醒、约谈函询；检查和处理党的组织和党员违反党的章程和其他党内法规的比较重要或复杂的案件。</w:t>
      </w:r>
    </w:p>
    <w:p>
      <w:pPr>
        <w:widowControl/>
        <w:ind w:left="281" w:leftChars="134" w:firstLine="640" w:firstLineChars="200"/>
        <w:rPr>
          <w:rFonts w:hint="default" w:ascii="仿宋" w:hAnsi="仿宋" w:eastAsia="仿宋" w:cs="宋体"/>
          <w:kern w:val="0"/>
          <w:sz w:val="32"/>
          <w:szCs w:val="32"/>
          <w:lang w:val="en-US" w:eastAsia="zh-CN"/>
        </w:rPr>
      </w:pPr>
      <w:r>
        <w:rPr>
          <w:rFonts w:hint="eastAsia" w:ascii="仿宋" w:hAnsi="仿宋" w:eastAsia="仿宋" w:cs="宋体"/>
          <w:kern w:val="0"/>
          <w:sz w:val="32"/>
          <w:szCs w:val="32"/>
        </w:rPr>
        <w:t>资金分配及历年安排情况</w:t>
      </w:r>
      <w:r>
        <w:rPr>
          <w:rFonts w:hint="eastAsia" w:ascii="仿宋" w:hAnsi="仿宋" w:eastAsia="仿宋" w:cs="宋体"/>
          <w:kern w:val="0"/>
          <w:sz w:val="32"/>
          <w:szCs w:val="32"/>
          <w:lang w:eastAsia="zh-CN"/>
        </w:rPr>
        <w:t>：</w:t>
      </w:r>
      <w:r>
        <w:rPr>
          <w:rFonts w:hint="eastAsia" w:ascii="仿宋" w:hAnsi="仿宋" w:eastAsia="仿宋" w:cs="宋体"/>
          <w:kern w:val="0"/>
          <w:sz w:val="32"/>
          <w:szCs w:val="32"/>
          <w:lang w:val="en-US" w:eastAsia="zh-CN"/>
        </w:rPr>
        <w:t>办公费7万元，印刷费10万元，维修费15万元，差旅费79万元，电费2万元，其他交通费17万元，劳务费10万元，办公设备购置13万元。上一年度预算安排155万元。</w:t>
      </w:r>
    </w:p>
    <w:p>
      <w:pPr>
        <w:widowControl/>
        <w:numPr>
          <w:ilvl w:val="0"/>
          <w:numId w:val="0"/>
        </w:numPr>
        <w:ind w:left="320" w:leftChars="0" w:firstLine="640" w:firstLineChars="200"/>
        <w:rPr>
          <w:rFonts w:hint="default" w:ascii="仿宋" w:hAnsi="仿宋" w:eastAsia="仿宋" w:cs="宋体"/>
          <w:color w:val="000000"/>
          <w:kern w:val="0"/>
          <w:sz w:val="32"/>
          <w:szCs w:val="32"/>
          <w:lang w:val="en-US" w:eastAsia="zh-CN"/>
        </w:rPr>
      </w:pPr>
      <w:r>
        <w:rPr>
          <w:rFonts w:hint="eastAsia" w:ascii="仿宋" w:hAnsi="仿宋" w:eastAsia="仿宋" w:cs="宋体"/>
          <w:kern w:val="0"/>
          <w:sz w:val="32"/>
          <w:szCs w:val="32"/>
        </w:rPr>
        <w:t>2、</w:t>
      </w:r>
      <w:r>
        <w:rPr>
          <w:rFonts w:hint="eastAsia" w:ascii="仿宋" w:hAnsi="仿宋" w:eastAsia="仿宋" w:cs="宋体"/>
          <w:color w:val="000000"/>
          <w:kern w:val="0"/>
          <w:sz w:val="32"/>
          <w:szCs w:val="32"/>
          <w:lang w:eastAsia="zh-CN"/>
        </w:rPr>
        <w:t>项目</w:t>
      </w:r>
      <w:r>
        <w:rPr>
          <w:rFonts w:hint="eastAsia" w:ascii="仿宋" w:hAnsi="仿宋" w:eastAsia="仿宋" w:cs="宋体"/>
          <w:color w:val="000000"/>
          <w:kern w:val="0"/>
          <w:sz w:val="32"/>
          <w:szCs w:val="32"/>
        </w:rPr>
        <w:t>的可行性、必要性、有效性及其论证过程。</w:t>
      </w:r>
      <w:r>
        <w:rPr>
          <w:rFonts w:hint="eastAsia" w:ascii="仿宋" w:hAnsi="仿宋" w:eastAsia="仿宋" w:cs="宋体"/>
          <w:kern w:val="0"/>
          <w:sz w:val="32"/>
          <w:szCs w:val="32"/>
          <w:lang w:val="zh-CN" w:eastAsia="zh-CN"/>
        </w:rPr>
        <w:t>依据《中国共产党章程》要求，党的各级纪律检查委员会的职责是监督执纪问责，要经常对党员进行遵守纪律的教育，做出关于维护党纪的决定；对党的组织和党员领导干部履行职责、行使权力进行监督，受理处置党员群众检举举报，开展谈话提醒、约谈函询；检查和处理党的组织和党员违反党的章程和其他党内法规的比较重要或复杂的案件。</w:t>
      </w:r>
    </w:p>
    <w:p>
      <w:pPr>
        <w:widowControl/>
        <w:ind w:firstLine="472" w:firstLineChars="147"/>
        <w:rPr>
          <w:rFonts w:ascii="黑体" w:hAnsi="黑体" w:eastAsia="黑体" w:cs="宋体"/>
          <w:b/>
          <w:bCs/>
          <w:kern w:val="0"/>
          <w:sz w:val="32"/>
          <w:szCs w:val="32"/>
        </w:rPr>
      </w:pPr>
      <w:r>
        <w:rPr>
          <w:rFonts w:hint="eastAsia" w:ascii="黑体" w:hAnsi="黑体" w:eastAsia="黑体" w:cs="宋体"/>
          <w:b/>
          <w:bCs/>
          <w:kern w:val="0"/>
          <w:sz w:val="32"/>
          <w:szCs w:val="32"/>
        </w:rPr>
        <w:t>二、</w:t>
      </w:r>
      <w:r>
        <w:rPr>
          <w:rFonts w:hint="eastAsia" w:ascii="黑体" w:hAnsi="黑体" w:eastAsia="黑体" w:cs="宋体"/>
          <w:b/>
          <w:bCs/>
          <w:kern w:val="0"/>
          <w:sz w:val="32"/>
          <w:szCs w:val="32"/>
          <w:lang w:eastAsia="zh-CN"/>
        </w:rPr>
        <w:t>项目</w:t>
      </w:r>
      <w:r>
        <w:rPr>
          <w:rFonts w:hint="eastAsia" w:ascii="黑体" w:hAnsi="黑体" w:eastAsia="黑体" w:cs="宋体"/>
          <w:b/>
          <w:bCs/>
          <w:kern w:val="0"/>
          <w:sz w:val="32"/>
          <w:szCs w:val="32"/>
        </w:rPr>
        <w:t>绩效目标和指标设定情况</w:t>
      </w:r>
    </w:p>
    <w:tbl>
      <w:tblPr>
        <w:tblStyle w:val="6"/>
        <w:tblW w:w="94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项目编码</w:t>
            </w:r>
          </w:p>
        </w:tc>
        <w:tc>
          <w:tcPr>
            <w:tcW w:w="8279"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县委巡察办经费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绩效目标</w:t>
            </w:r>
          </w:p>
        </w:tc>
        <w:tc>
          <w:tcPr>
            <w:tcW w:w="8279" w:type="dxa"/>
            <w:tcBorders>
              <w:bottom w:val="nil"/>
            </w:tcBorders>
            <w:vAlign w:val="center"/>
          </w:tcPr>
          <w:p>
            <w:pPr>
              <w:spacing w:line="300" w:lineRule="exact"/>
              <w:jc w:val="left"/>
              <w:outlineLvl w:val="9"/>
              <w:rPr>
                <w:rFonts w:hint="default" w:ascii="方正书宋_GBK" w:hAnsi="方正书宋_GBK" w:eastAsia="方正书宋_GBK" w:cs="方正书宋_GBK"/>
                <w:b/>
                <w:sz w:val="21"/>
                <w:u w:val="none"/>
                <w:vertAlign w:val="baseline"/>
                <w:lang w:val="en-US" w:eastAsia="zh-CN"/>
              </w:rPr>
            </w:pPr>
            <w:r>
              <w:rPr>
                <w:rFonts w:hint="eastAsia" w:ascii="方正书宋_GBK" w:hAnsi="方正书宋_GBK" w:eastAsia="方正书宋_GBK" w:cs="方正书宋_GBK"/>
                <w:b/>
                <w:sz w:val="21"/>
                <w:u w:val="none"/>
                <w:vertAlign w:val="baseline"/>
                <w:lang w:val="en-US" w:eastAsia="zh-CN"/>
              </w:rPr>
              <w:t>执纪执法发现问题线索查结率，群众举报问题线索查结率。</w:t>
            </w:r>
          </w:p>
        </w:tc>
      </w:tr>
    </w:tbl>
    <w:p>
      <w:pPr>
        <w:spacing w:line="14" w:lineRule="exact"/>
        <w:ind w:firstLine="420" w:firstLineChars="200"/>
        <w:jc w:val="center"/>
        <w:outlineLvl w:val="9"/>
        <w:rPr>
          <w:rFonts w:hint="eastAsia" w:ascii="Times New Roman" w:hAnsi="宋体" w:eastAsia="宋体" w:cs="宋体"/>
          <w:b/>
          <w:sz w:val="21"/>
          <w:u w:val="none"/>
          <w:lang w:eastAsia="zh-CN"/>
        </w:rPr>
      </w:pPr>
      <w:r>
        <w:rPr>
          <w:rFonts w:hint="eastAsia" w:ascii="方正书宋_GBK" w:hAnsi="方正书宋_GBK" w:eastAsia="方正书宋_GBK" w:cs="方正书宋_GBK"/>
          <w:b/>
          <w:sz w:val="21"/>
          <w:u w:val="none"/>
          <w:lang w:eastAsia="zh-CN"/>
        </w:rPr>
        <w:t xml:space="preserve"> </w:t>
      </w:r>
    </w:p>
    <w:tbl>
      <w:tblPr>
        <w:tblStyle w:val="6"/>
        <w:tblW w:w="94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764"/>
        <w:gridCol w:w="2404"/>
        <w:gridCol w:w="1361"/>
        <w:gridCol w:w="16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一级指标</w:t>
            </w:r>
          </w:p>
        </w:tc>
        <w:tc>
          <w:tcPr>
            <w:tcW w:w="113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二级指标</w:t>
            </w:r>
          </w:p>
        </w:tc>
        <w:tc>
          <w:tcPr>
            <w:tcW w:w="176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三级指标</w:t>
            </w:r>
          </w:p>
        </w:tc>
        <w:tc>
          <w:tcPr>
            <w:tcW w:w="240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绩效指标描述</w:t>
            </w:r>
          </w:p>
        </w:tc>
        <w:tc>
          <w:tcPr>
            <w:tcW w:w="1361"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w:t>
            </w:r>
          </w:p>
        </w:tc>
        <w:tc>
          <w:tcPr>
            <w:tcW w:w="1616"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570" w:hRule="atLeast"/>
          <w:jc w:val="center"/>
        </w:trPr>
        <w:tc>
          <w:tcPr>
            <w:tcW w:w="1134" w:type="dxa"/>
            <w:vMerge w:val="restart"/>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产出指标</w:t>
            </w:r>
          </w:p>
        </w:tc>
        <w:tc>
          <w:tcPr>
            <w:tcW w:w="1134" w:type="dxa"/>
            <w:vAlign w:val="center"/>
          </w:tcPr>
          <w:p>
            <w:pPr>
              <w:spacing w:line="300" w:lineRule="exact"/>
              <w:jc w:val="left"/>
              <w:outlineLvl w:val="9"/>
              <w:rPr>
                <w:rFonts w:hint="default" w:ascii="方正书宋_GBK" w:hAnsi="方正书宋_GBK" w:eastAsia="方正书宋_GBK" w:cs="方正书宋_GBK"/>
                <w:b/>
                <w:sz w:val="21"/>
                <w:u w:val="none"/>
                <w:vertAlign w:val="baseline"/>
                <w:lang w:val="en-US" w:eastAsia="zh-CN"/>
              </w:rPr>
            </w:pPr>
            <w:r>
              <w:rPr>
                <w:rFonts w:hint="eastAsia" w:ascii="方正书宋_GBK" w:hAnsi="方正书宋_GBK" w:eastAsia="方正书宋_GBK" w:cs="方正书宋_GBK"/>
                <w:b/>
                <w:sz w:val="21"/>
                <w:u w:val="none"/>
                <w:vertAlign w:val="baseline"/>
                <w:lang w:val="en-US" w:eastAsia="zh-CN"/>
              </w:rPr>
              <w:t>数量指标</w:t>
            </w:r>
          </w:p>
        </w:tc>
        <w:tc>
          <w:tcPr>
            <w:tcW w:w="1764" w:type="dxa"/>
            <w:vAlign w:val="center"/>
          </w:tcPr>
          <w:p>
            <w:pPr>
              <w:spacing w:line="300" w:lineRule="exact"/>
              <w:jc w:val="left"/>
              <w:outlineLvl w:val="9"/>
              <w:rPr>
                <w:rFonts w:hint="default" w:ascii="方正书宋_GBK" w:hAnsi="方正书宋_GBK" w:eastAsia="方正书宋_GBK" w:cs="方正书宋_GBK"/>
                <w:b/>
                <w:sz w:val="21"/>
                <w:u w:val="none"/>
                <w:vertAlign w:val="baseline"/>
                <w:lang w:val="en-US" w:eastAsia="zh-CN"/>
              </w:rPr>
            </w:pPr>
            <w:r>
              <w:rPr>
                <w:rFonts w:hint="eastAsia" w:ascii="方正书宋_GBK" w:hAnsi="方正书宋_GBK" w:eastAsia="方正书宋_GBK" w:cs="方正书宋_GBK"/>
                <w:b/>
                <w:sz w:val="21"/>
                <w:u w:val="none"/>
                <w:vertAlign w:val="baseline"/>
                <w:lang w:val="en-US" w:eastAsia="zh-CN"/>
              </w:rPr>
              <w:t>项目完成情况</w:t>
            </w:r>
          </w:p>
        </w:tc>
        <w:tc>
          <w:tcPr>
            <w:tcW w:w="2404"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val="en-US" w:eastAsia="zh-CN"/>
              </w:rPr>
              <w:t>项目完成情况</w:t>
            </w:r>
          </w:p>
        </w:tc>
        <w:tc>
          <w:tcPr>
            <w:tcW w:w="1361" w:type="dxa"/>
            <w:vAlign w:val="center"/>
          </w:tcPr>
          <w:p>
            <w:pPr>
              <w:spacing w:line="300" w:lineRule="exact"/>
              <w:jc w:val="left"/>
              <w:outlineLvl w:val="9"/>
              <w:rPr>
                <w:rFonts w:hint="default" w:ascii="方正书宋_GBK" w:hAnsi="方正书宋_GBK" w:eastAsia="方正书宋_GBK" w:cs="方正书宋_GBK"/>
                <w:b/>
                <w:sz w:val="21"/>
                <w:u w:val="none"/>
                <w:vertAlign w:val="baseline"/>
                <w:lang w:val="en-US" w:eastAsia="zh-CN"/>
              </w:rPr>
            </w:pPr>
            <w:r>
              <w:rPr>
                <w:rFonts w:hint="eastAsia" w:ascii="方正书宋_GBK" w:hAnsi="方正书宋_GBK" w:eastAsia="方正书宋_GBK" w:cs="方正书宋_GBK"/>
                <w:b/>
                <w:sz w:val="21"/>
                <w:u w:val="none"/>
                <w:vertAlign w:val="baseline"/>
                <w:lang w:eastAsia="zh-CN"/>
              </w:rPr>
              <w:t>≥</w:t>
            </w:r>
            <w:r>
              <w:rPr>
                <w:rFonts w:hint="eastAsia" w:ascii="方正书宋_GBK" w:hAnsi="方正书宋_GBK" w:eastAsia="方正书宋_GBK" w:cs="方正书宋_GBK"/>
                <w:b/>
                <w:sz w:val="21"/>
                <w:u w:val="none"/>
                <w:vertAlign w:val="baseline"/>
                <w:lang w:val="en-US" w:eastAsia="zh-CN"/>
              </w:rPr>
              <w:t>95百分比</w:t>
            </w:r>
          </w:p>
        </w:tc>
        <w:tc>
          <w:tcPr>
            <w:tcW w:w="1616" w:type="dxa"/>
            <w:vAlign w:val="center"/>
          </w:tcPr>
          <w:p>
            <w:pPr>
              <w:spacing w:line="300" w:lineRule="exact"/>
              <w:jc w:val="left"/>
              <w:outlineLvl w:val="9"/>
              <w:rPr>
                <w:rFonts w:hint="default" w:ascii="方正书宋_GBK" w:hAnsi="方正书宋_GBK" w:eastAsia="方正书宋_GBK" w:cs="方正书宋_GBK"/>
                <w:b/>
                <w:sz w:val="21"/>
                <w:u w:val="none"/>
                <w:vertAlign w:val="baseline"/>
                <w:lang w:val="en-US" w:eastAsia="zh-CN"/>
              </w:rPr>
            </w:pPr>
            <w:r>
              <w:rPr>
                <w:rFonts w:hint="eastAsia" w:ascii="方正书宋_GBK" w:hAnsi="方正书宋_GBK" w:eastAsia="方正书宋_GBK" w:cs="方正书宋_GBK"/>
                <w:b/>
                <w:sz w:val="21"/>
                <w:u w:val="none"/>
                <w:vertAlign w:val="baseline"/>
                <w:lang w:val="en-US" w:eastAsia="zh-CN"/>
              </w:rPr>
              <w:t>执纪监督规则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585" w:hRule="atLeast"/>
          <w:jc w:val="center"/>
        </w:trPr>
        <w:tc>
          <w:tcPr>
            <w:tcW w:w="1134" w:type="dxa"/>
            <w:vMerge w:val="continue"/>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134" w:type="dxa"/>
            <w:vAlign w:val="center"/>
          </w:tcPr>
          <w:p>
            <w:pPr>
              <w:spacing w:line="300" w:lineRule="exact"/>
              <w:jc w:val="left"/>
              <w:outlineLvl w:val="9"/>
              <w:rPr>
                <w:rFonts w:hint="default" w:ascii="方正书宋_GBK" w:hAnsi="方正书宋_GBK" w:eastAsia="方正书宋_GBK" w:cs="方正书宋_GBK"/>
                <w:b/>
                <w:sz w:val="21"/>
                <w:u w:val="none"/>
                <w:vertAlign w:val="baseline"/>
                <w:lang w:val="en-US" w:eastAsia="zh-CN"/>
              </w:rPr>
            </w:pPr>
            <w:r>
              <w:rPr>
                <w:rFonts w:hint="eastAsia" w:ascii="方正书宋_GBK" w:hAnsi="方正书宋_GBK" w:eastAsia="方正书宋_GBK" w:cs="方正书宋_GBK"/>
                <w:b/>
                <w:sz w:val="21"/>
                <w:u w:val="none"/>
                <w:vertAlign w:val="baseline"/>
                <w:lang w:val="en-US" w:eastAsia="zh-CN"/>
              </w:rPr>
              <w:t>质量指标</w:t>
            </w:r>
          </w:p>
        </w:tc>
        <w:tc>
          <w:tcPr>
            <w:tcW w:w="1764" w:type="dxa"/>
            <w:vAlign w:val="center"/>
          </w:tcPr>
          <w:p>
            <w:pPr>
              <w:spacing w:line="300" w:lineRule="exact"/>
              <w:jc w:val="left"/>
              <w:outlineLvl w:val="9"/>
              <w:rPr>
                <w:rFonts w:hint="default" w:ascii="方正书宋_GBK" w:hAnsi="方正书宋_GBK" w:eastAsia="方正书宋_GBK" w:cs="方正书宋_GBK"/>
                <w:b/>
                <w:sz w:val="21"/>
                <w:u w:val="none"/>
                <w:vertAlign w:val="baseline"/>
                <w:lang w:val="en-US" w:eastAsia="zh-CN"/>
              </w:rPr>
            </w:pPr>
            <w:r>
              <w:rPr>
                <w:rFonts w:hint="eastAsia" w:ascii="方正书宋_GBK" w:hAnsi="方正书宋_GBK" w:eastAsia="方正书宋_GBK" w:cs="方正书宋_GBK"/>
                <w:b/>
                <w:sz w:val="21"/>
                <w:u w:val="none"/>
                <w:vertAlign w:val="baseline"/>
                <w:lang w:val="en-US" w:eastAsia="zh-CN"/>
              </w:rPr>
              <w:t>机关运转率(%)</w:t>
            </w:r>
          </w:p>
        </w:tc>
        <w:tc>
          <w:tcPr>
            <w:tcW w:w="2404"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val="en-US" w:eastAsia="zh-CN"/>
              </w:rPr>
              <w:t>机关运转率(%)</w:t>
            </w:r>
          </w:p>
        </w:tc>
        <w:tc>
          <w:tcPr>
            <w:tcW w:w="1361"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w:t>
            </w:r>
            <w:r>
              <w:rPr>
                <w:rFonts w:hint="eastAsia" w:ascii="方正书宋_GBK" w:hAnsi="方正书宋_GBK" w:eastAsia="方正书宋_GBK" w:cs="方正书宋_GBK"/>
                <w:b/>
                <w:sz w:val="21"/>
                <w:u w:val="none"/>
                <w:vertAlign w:val="baseline"/>
                <w:lang w:val="en-US" w:eastAsia="zh-CN"/>
              </w:rPr>
              <w:t>95百分比</w:t>
            </w:r>
          </w:p>
        </w:tc>
        <w:tc>
          <w:tcPr>
            <w:tcW w:w="161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val="en-US" w:eastAsia="zh-CN"/>
              </w:rPr>
              <w:t>执纪监督规则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525" w:hRule="atLeast"/>
          <w:jc w:val="center"/>
        </w:trPr>
        <w:tc>
          <w:tcPr>
            <w:tcW w:w="1134" w:type="dxa"/>
            <w:vMerge w:val="continue"/>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134" w:type="dxa"/>
            <w:vAlign w:val="center"/>
          </w:tcPr>
          <w:p>
            <w:pPr>
              <w:spacing w:line="300" w:lineRule="exact"/>
              <w:jc w:val="left"/>
              <w:outlineLvl w:val="9"/>
              <w:rPr>
                <w:rFonts w:hint="default" w:ascii="方正书宋_GBK" w:hAnsi="方正书宋_GBK" w:eastAsia="方正书宋_GBK" w:cs="方正书宋_GBK"/>
                <w:b/>
                <w:sz w:val="21"/>
                <w:u w:val="none"/>
                <w:vertAlign w:val="baseline"/>
                <w:lang w:val="en-US" w:eastAsia="zh-CN"/>
              </w:rPr>
            </w:pPr>
            <w:r>
              <w:rPr>
                <w:rFonts w:hint="eastAsia" w:ascii="方正书宋_GBK" w:hAnsi="方正书宋_GBK" w:eastAsia="方正书宋_GBK" w:cs="方正书宋_GBK"/>
                <w:b/>
                <w:sz w:val="21"/>
                <w:u w:val="none"/>
                <w:vertAlign w:val="baseline"/>
                <w:lang w:val="en-US" w:eastAsia="zh-CN"/>
              </w:rPr>
              <w:t>时效指标</w:t>
            </w:r>
          </w:p>
        </w:tc>
        <w:tc>
          <w:tcPr>
            <w:tcW w:w="1764" w:type="dxa"/>
            <w:vAlign w:val="center"/>
          </w:tcPr>
          <w:p>
            <w:pPr>
              <w:spacing w:line="300" w:lineRule="exact"/>
              <w:jc w:val="left"/>
              <w:outlineLvl w:val="9"/>
              <w:rPr>
                <w:rFonts w:hint="default" w:ascii="方正书宋_GBK" w:hAnsi="方正书宋_GBK" w:eastAsia="方正书宋_GBK" w:cs="方正书宋_GBK"/>
                <w:b/>
                <w:sz w:val="21"/>
                <w:u w:val="none"/>
                <w:vertAlign w:val="baseline"/>
                <w:lang w:val="en-US" w:eastAsia="zh-CN"/>
              </w:rPr>
            </w:pPr>
            <w:r>
              <w:rPr>
                <w:rFonts w:hint="eastAsia" w:ascii="方正书宋_GBK" w:hAnsi="方正书宋_GBK" w:eastAsia="方正书宋_GBK" w:cs="方正书宋_GBK"/>
                <w:b/>
                <w:sz w:val="21"/>
                <w:u w:val="none"/>
                <w:vertAlign w:val="baseline"/>
                <w:lang w:val="en-US" w:eastAsia="zh-CN"/>
              </w:rPr>
              <w:t>完成及时率</w:t>
            </w:r>
          </w:p>
        </w:tc>
        <w:tc>
          <w:tcPr>
            <w:tcW w:w="2404" w:type="dxa"/>
            <w:vAlign w:val="center"/>
          </w:tcPr>
          <w:p>
            <w:pPr>
              <w:spacing w:line="300" w:lineRule="exact"/>
              <w:jc w:val="left"/>
              <w:outlineLvl w:val="9"/>
              <w:rPr>
                <w:rFonts w:hint="default" w:ascii="方正书宋_GBK" w:hAnsi="方正书宋_GBK" w:eastAsia="方正书宋_GBK" w:cs="方正书宋_GBK"/>
                <w:b/>
                <w:sz w:val="21"/>
                <w:u w:val="none"/>
                <w:vertAlign w:val="baseline"/>
                <w:lang w:val="en-US" w:eastAsia="zh-CN"/>
              </w:rPr>
            </w:pPr>
            <w:r>
              <w:rPr>
                <w:rFonts w:hint="eastAsia" w:ascii="方正书宋_GBK" w:hAnsi="方正书宋_GBK" w:eastAsia="方正书宋_GBK" w:cs="方正书宋_GBK"/>
                <w:b/>
                <w:sz w:val="21"/>
                <w:u w:val="none"/>
                <w:vertAlign w:val="baseline"/>
                <w:lang w:val="en-US" w:eastAsia="zh-CN"/>
              </w:rPr>
              <w:t>完成及时率</w:t>
            </w:r>
          </w:p>
        </w:tc>
        <w:tc>
          <w:tcPr>
            <w:tcW w:w="1361"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w:t>
            </w:r>
            <w:r>
              <w:rPr>
                <w:rFonts w:hint="eastAsia" w:ascii="方正书宋_GBK" w:hAnsi="方正书宋_GBK" w:eastAsia="方正书宋_GBK" w:cs="方正书宋_GBK"/>
                <w:b/>
                <w:sz w:val="21"/>
                <w:u w:val="none"/>
                <w:vertAlign w:val="baseline"/>
                <w:lang w:val="en-US" w:eastAsia="zh-CN"/>
              </w:rPr>
              <w:t>95百分比</w:t>
            </w:r>
          </w:p>
        </w:tc>
        <w:tc>
          <w:tcPr>
            <w:tcW w:w="161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val="en-US" w:eastAsia="zh-CN"/>
              </w:rPr>
              <w:t>执纪监督规则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660" w:hRule="atLeast"/>
          <w:jc w:val="center"/>
        </w:trPr>
        <w:tc>
          <w:tcPr>
            <w:tcW w:w="1134" w:type="dxa"/>
            <w:vMerge w:val="continue"/>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1134" w:type="dxa"/>
            <w:vAlign w:val="center"/>
          </w:tcPr>
          <w:p>
            <w:pPr>
              <w:spacing w:line="300" w:lineRule="exact"/>
              <w:jc w:val="left"/>
              <w:outlineLvl w:val="9"/>
              <w:rPr>
                <w:rFonts w:hint="default" w:ascii="方正书宋_GBK" w:hAnsi="方正书宋_GBK" w:eastAsia="方正书宋_GBK" w:cs="方正书宋_GBK"/>
                <w:b/>
                <w:sz w:val="21"/>
                <w:u w:val="none"/>
                <w:vertAlign w:val="baseline"/>
                <w:lang w:val="en-US" w:eastAsia="zh-CN"/>
              </w:rPr>
            </w:pPr>
            <w:r>
              <w:rPr>
                <w:rFonts w:hint="eastAsia" w:ascii="方正书宋_GBK" w:hAnsi="方正书宋_GBK" w:eastAsia="方正书宋_GBK" w:cs="方正书宋_GBK"/>
                <w:b/>
                <w:sz w:val="21"/>
                <w:u w:val="none"/>
                <w:vertAlign w:val="baseline"/>
                <w:lang w:val="en-US" w:eastAsia="zh-CN"/>
              </w:rPr>
              <w:t>成本指标</w:t>
            </w:r>
          </w:p>
        </w:tc>
        <w:tc>
          <w:tcPr>
            <w:tcW w:w="1764" w:type="dxa"/>
            <w:vAlign w:val="center"/>
          </w:tcPr>
          <w:p>
            <w:pPr>
              <w:spacing w:line="300" w:lineRule="exact"/>
              <w:jc w:val="left"/>
              <w:outlineLvl w:val="9"/>
              <w:rPr>
                <w:rFonts w:hint="default" w:ascii="方正书宋_GBK" w:hAnsi="方正书宋_GBK" w:eastAsia="方正书宋_GBK" w:cs="方正书宋_GBK"/>
                <w:b/>
                <w:sz w:val="21"/>
                <w:u w:val="none"/>
                <w:vertAlign w:val="baseline"/>
                <w:lang w:val="en-US" w:eastAsia="zh-CN"/>
              </w:rPr>
            </w:pPr>
            <w:r>
              <w:rPr>
                <w:rFonts w:hint="eastAsia" w:ascii="方正书宋_GBK" w:hAnsi="方正书宋_GBK" w:eastAsia="方正书宋_GBK" w:cs="方正书宋_GBK"/>
                <w:b/>
                <w:sz w:val="21"/>
                <w:u w:val="none"/>
                <w:vertAlign w:val="baseline"/>
                <w:lang w:val="en-US" w:eastAsia="zh-CN"/>
              </w:rPr>
              <w:t>成本控制率（%）</w:t>
            </w:r>
          </w:p>
        </w:tc>
        <w:tc>
          <w:tcPr>
            <w:tcW w:w="2404"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val="en-US" w:eastAsia="zh-CN"/>
              </w:rPr>
              <w:t>成本控制率（%）</w:t>
            </w:r>
          </w:p>
        </w:tc>
        <w:tc>
          <w:tcPr>
            <w:tcW w:w="1361" w:type="dxa"/>
            <w:vAlign w:val="center"/>
          </w:tcPr>
          <w:p>
            <w:pPr>
              <w:spacing w:line="300" w:lineRule="exact"/>
              <w:jc w:val="left"/>
              <w:outlineLvl w:val="9"/>
              <w:rPr>
                <w:rFonts w:hint="eastAsia" w:ascii="方正书宋_GBK" w:hAnsi="方正书宋_GBK" w:eastAsia="方正书宋_GBK" w:cs="方正书宋_GBK"/>
                <w:b w:val="0"/>
                <w:bCs/>
                <w:sz w:val="21"/>
                <w:u w:val="none"/>
                <w:vertAlign w:val="baseline"/>
                <w:lang w:eastAsia="zh-CN"/>
              </w:rPr>
            </w:pPr>
            <w:r>
              <w:rPr>
                <w:rFonts w:hint="eastAsia" w:ascii="方正书宋_GBK" w:hAnsi="方正书宋_GBK" w:eastAsia="方正书宋_GBK" w:cs="方正书宋_GBK"/>
                <w:b/>
                <w:sz w:val="21"/>
                <w:u w:val="none"/>
                <w:vertAlign w:val="baseline"/>
                <w:lang w:eastAsia="zh-CN"/>
              </w:rPr>
              <w:t>≥</w:t>
            </w:r>
            <w:r>
              <w:rPr>
                <w:rFonts w:hint="eastAsia" w:ascii="方正书宋_GBK" w:hAnsi="方正书宋_GBK" w:eastAsia="方正书宋_GBK" w:cs="方正书宋_GBK"/>
                <w:b/>
                <w:sz w:val="21"/>
                <w:u w:val="none"/>
                <w:vertAlign w:val="baseline"/>
                <w:lang w:val="en-US" w:eastAsia="zh-CN"/>
              </w:rPr>
              <w:t>95百分比</w:t>
            </w:r>
          </w:p>
        </w:tc>
        <w:tc>
          <w:tcPr>
            <w:tcW w:w="161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val="en-US" w:eastAsia="zh-CN"/>
              </w:rPr>
              <w:t>财经法规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效果指标</w:t>
            </w:r>
          </w:p>
        </w:tc>
        <w:tc>
          <w:tcPr>
            <w:tcW w:w="1134"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社会效益指标</w:t>
            </w:r>
          </w:p>
        </w:tc>
        <w:tc>
          <w:tcPr>
            <w:tcW w:w="1764" w:type="dxa"/>
            <w:vAlign w:val="center"/>
          </w:tcPr>
          <w:p>
            <w:pPr>
              <w:spacing w:line="300" w:lineRule="exact"/>
              <w:jc w:val="left"/>
              <w:outlineLvl w:val="9"/>
              <w:rPr>
                <w:rFonts w:hint="default" w:ascii="方正书宋_GBK" w:hAnsi="方正书宋_GBK" w:eastAsia="方正书宋_GBK" w:cs="方正书宋_GBK"/>
                <w:b/>
                <w:sz w:val="21"/>
                <w:u w:val="none"/>
                <w:vertAlign w:val="baseline"/>
                <w:lang w:val="en-US" w:eastAsia="zh-CN"/>
              </w:rPr>
            </w:pPr>
            <w:r>
              <w:rPr>
                <w:rFonts w:hint="eastAsia" w:ascii="方正书宋_GBK" w:hAnsi="方正书宋_GBK" w:eastAsia="方正书宋_GBK" w:cs="方正书宋_GBK"/>
                <w:b/>
                <w:sz w:val="21"/>
                <w:u w:val="none"/>
                <w:vertAlign w:val="baseline"/>
                <w:lang w:val="en-US" w:eastAsia="zh-CN"/>
              </w:rPr>
              <w:t>工作完成率</w:t>
            </w:r>
          </w:p>
        </w:tc>
        <w:tc>
          <w:tcPr>
            <w:tcW w:w="2404"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val="en-US" w:eastAsia="zh-CN"/>
              </w:rPr>
              <w:t>工作完成率</w:t>
            </w:r>
          </w:p>
        </w:tc>
        <w:tc>
          <w:tcPr>
            <w:tcW w:w="1361"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w:t>
            </w:r>
            <w:r>
              <w:rPr>
                <w:rFonts w:hint="eastAsia" w:ascii="方正书宋_GBK" w:hAnsi="方正书宋_GBK" w:eastAsia="方正书宋_GBK" w:cs="方正书宋_GBK"/>
                <w:b/>
                <w:sz w:val="21"/>
                <w:u w:val="none"/>
                <w:vertAlign w:val="baseline"/>
                <w:lang w:val="en-US" w:eastAsia="zh-CN"/>
              </w:rPr>
              <w:t>95百分比</w:t>
            </w:r>
          </w:p>
        </w:tc>
        <w:tc>
          <w:tcPr>
            <w:tcW w:w="161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val="en-US" w:eastAsia="zh-CN"/>
              </w:rPr>
              <w:t>执纪监督规则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满意度指标</w:t>
            </w:r>
          </w:p>
        </w:tc>
        <w:tc>
          <w:tcPr>
            <w:tcW w:w="1134"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服务对象满意度指标</w:t>
            </w:r>
          </w:p>
        </w:tc>
        <w:tc>
          <w:tcPr>
            <w:tcW w:w="1764" w:type="dxa"/>
            <w:vAlign w:val="center"/>
          </w:tcPr>
          <w:p>
            <w:pPr>
              <w:spacing w:line="300" w:lineRule="exact"/>
              <w:jc w:val="left"/>
              <w:outlineLvl w:val="9"/>
              <w:rPr>
                <w:rFonts w:hint="default" w:ascii="方正书宋_GBK" w:hAnsi="方正书宋_GBK" w:eastAsia="方正书宋_GBK" w:cs="方正书宋_GBK"/>
                <w:b/>
                <w:sz w:val="21"/>
                <w:u w:val="none"/>
                <w:vertAlign w:val="baseline"/>
                <w:lang w:val="en-US" w:eastAsia="zh-CN"/>
              </w:rPr>
            </w:pPr>
            <w:r>
              <w:rPr>
                <w:rFonts w:hint="eastAsia" w:ascii="方正书宋_GBK" w:hAnsi="方正书宋_GBK" w:eastAsia="方正书宋_GBK" w:cs="方正书宋_GBK"/>
                <w:b/>
                <w:sz w:val="21"/>
                <w:u w:val="none"/>
                <w:vertAlign w:val="baseline"/>
                <w:lang w:val="en-US" w:eastAsia="zh-CN"/>
              </w:rPr>
              <w:t>服务对象满意度</w:t>
            </w:r>
          </w:p>
        </w:tc>
        <w:tc>
          <w:tcPr>
            <w:tcW w:w="2404"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val="en-US" w:eastAsia="zh-CN"/>
              </w:rPr>
              <w:t>服务对象满意度</w:t>
            </w:r>
          </w:p>
        </w:tc>
        <w:tc>
          <w:tcPr>
            <w:tcW w:w="1361"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w:t>
            </w:r>
            <w:r>
              <w:rPr>
                <w:rFonts w:hint="eastAsia" w:ascii="方正书宋_GBK" w:hAnsi="方正书宋_GBK" w:eastAsia="方正书宋_GBK" w:cs="方正书宋_GBK"/>
                <w:b/>
                <w:sz w:val="21"/>
                <w:u w:val="none"/>
                <w:vertAlign w:val="baseline"/>
                <w:lang w:val="en-US" w:eastAsia="zh-CN"/>
              </w:rPr>
              <w:t>95百分比</w:t>
            </w:r>
          </w:p>
        </w:tc>
        <w:tc>
          <w:tcPr>
            <w:tcW w:w="1616" w:type="dxa"/>
            <w:vAlign w:val="center"/>
          </w:tcPr>
          <w:p>
            <w:pPr>
              <w:spacing w:line="300" w:lineRule="exact"/>
              <w:jc w:val="left"/>
              <w:outlineLvl w:val="9"/>
              <w:rPr>
                <w:rFonts w:hint="default" w:ascii="方正书宋_GBK" w:hAnsi="方正书宋_GBK" w:eastAsia="方正书宋_GBK" w:cs="方正书宋_GBK"/>
                <w:b/>
                <w:sz w:val="21"/>
                <w:u w:val="none"/>
                <w:vertAlign w:val="baseline"/>
                <w:lang w:val="en-US" w:eastAsia="zh-CN"/>
              </w:rPr>
            </w:pPr>
            <w:r>
              <w:rPr>
                <w:rFonts w:hint="eastAsia" w:ascii="方正书宋_GBK" w:hAnsi="方正书宋_GBK" w:eastAsia="方正书宋_GBK" w:cs="方正书宋_GBK"/>
                <w:b/>
                <w:sz w:val="21"/>
                <w:u w:val="none"/>
                <w:vertAlign w:val="baseline"/>
                <w:lang w:val="en-US" w:eastAsia="zh-CN"/>
              </w:rPr>
              <w:t>执纪监督规则</w:t>
            </w:r>
          </w:p>
        </w:tc>
      </w:tr>
    </w:tbl>
    <w:p>
      <w:pPr>
        <w:widowControl/>
        <w:ind w:firstLine="472" w:firstLineChars="147"/>
        <w:rPr>
          <w:rFonts w:ascii="黑体" w:hAnsi="黑体" w:eastAsia="黑体" w:cs="宋体"/>
          <w:b/>
          <w:bCs/>
          <w:kern w:val="0"/>
          <w:sz w:val="32"/>
          <w:szCs w:val="32"/>
        </w:rPr>
      </w:pPr>
      <w:r>
        <w:rPr>
          <w:rFonts w:hint="eastAsia" w:ascii="黑体" w:hAnsi="黑体" w:eastAsia="黑体" w:cs="宋体"/>
          <w:b/>
          <w:bCs/>
          <w:kern w:val="0"/>
          <w:sz w:val="32"/>
          <w:szCs w:val="32"/>
        </w:rPr>
        <w:t>三、项目实施绩效管理情况及取得成绩</w:t>
      </w:r>
    </w:p>
    <w:p>
      <w:pPr>
        <w:widowControl/>
        <w:ind w:firstLine="320" w:firstLineChars="100"/>
        <w:rPr>
          <w:rFonts w:hint="eastAsia" w:ascii="仿宋" w:hAnsi="仿宋" w:eastAsia="仿宋" w:cs="宋体"/>
          <w:color w:val="000000"/>
          <w:kern w:val="0"/>
          <w:sz w:val="32"/>
          <w:szCs w:val="32"/>
        </w:rPr>
      </w:pPr>
      <w:r>
        <w:rPr>
          <w:rFonts w:hint="eastAsia" w:ascii="仿宋" w:hAnsi="仿宋" w:eastAsia="仿宋" w:cs="宋体"/>
          <w:color w:val="000000"/>
          <w:kern w:val="0"/>
          <w:sz w:val="32"/>
          <w:szCs w:val="32"/>
          <w:lang w:eastAsia="zh-CN"/>
        </w:rPr>
        <w:t>（</w:t>
      </w:r>
      <w:r>
        <w:rPr>
          <w:rFonts w:hint="eastAsia" w:ascii="仿宋" w:hAnsi="仿宋" w:eastAsia="仿宋" w:cs="宋体"/>
          <w:color w:val="000000"/>
          <w:kern w:val="0"/>
          <w:sz w:val="32"/>
          <w:szCs w:val="32"/>
          <w:lang w:val="en-US" w:eastAsia="zh-CN"/>
        </w:rPr>
        <w:t>一</w:t>
      </w:r>
      <w:r>
        <w:rPr>
          <w:rFonts w:hint="eastAsia" w:ascii="仿宋" w:hAnsi="仿宋" w:eastAsia="仿宋" w:cs="宋体"/>
          <w:color w:val="000000"/>
          <w:kern w:val="0"/>
          <w:sz w:val="32"/>
          <w:szCs w:val="32"/>
          <w:lang w:eastAsia="zh-CN"/>
        </w:rPr>
        <w:t>）</w:t>
      </w:r>
      <w:r>
        <w:rPr>
          <w:rFonts w:hint="eastAsia" w:ascii="仿宋" w:hAnsi="仿宋" w:eastAsia="仿宋" w:cs="宋体"/>
          <w:color w:val="000000"/>
          <w:kern w:val="0"/>
          <w:sz w:val="32"/>
          <w:szCs w:val="32"/>
        </w:rPr>
        <w:t>计划制定和落实情况。</w:t>
      </w:r>
      <w:r>
        <w:rPr>
          <w:rFonts w:hint="eastAsia" w:ascii="仿宋" w:hAnsi="仿宋" w:eastAsia="仿宋" w:cs="宋体"/>
          <w:color w:val="000000"/>
          <w:kern w:val="0"/>
          <w:sz w:val="32"/>
          <w:szCs w:val="32"/>
          <w:lang w:eastAsia="zh-CN"/>
        </w:rPr>
        <w:t>该</w:t>
      </w:r>
      <w:r>
        <w:rPr>
          <w:rFonts w:hint="eastAsia" w:ascii="仿宋" w:hAnsi="仿宋" w:eastAsia="仿宋" w:cs="宋体"/>
          <w:color w:val="000000"/>
          <w:kern w:val="0"/>
          <w:sz w:val="32"/>
          <w:szCs w:val="32"/>
          <w:lang w:val="en-US" w:eastAsia="zh-CN"/>
        </w:rPr>
        <w:t>项目</w:t>
      </w:r>
      <w:r>
        <w:rPr>
          <w:rFonts w:hint="eastAsia" w:ascii="仿宋" w:hAnsi="仿宋" w:eastAsia="仿宋" w:cs="宋体"/>
          <w:color w:val="000000"/>
          <w:kern w:val="0"/>
          <w:sz w:val="32"/>
          <w:szCs w:val="32"/>
        </w:rPr>
        <w:t>制定详细可行的项目实施计划，</w:t>
      </w:r>
      <w:r>
        <w:rPr>
          <w:rFonts w:hint="eastAsia" w:ascii="仿宋" w:hAnsi="仿宋" w:eastAsia="仿宋" w:cs="宋体"/>
          <w:color w:val="000000"/>
          <w:kern w:val="0"/>
          <w:sz w:val="32"/>
          <w:szCs w:val="32"/>
          <w:lang w:eastAsia="zh-CN"/>
        </w:rPr>
        <w:t>并</w:t>
      </w:r>
      <w:r>
        <w:rPr>
          <w:rFonts w:hint="eastAsia" w:ascii="仿宋" w:hAnsi="仿宋" w:eastAsia="仿宋" w:cs="宋体"/>
          <w:color w:val="000000"/>
          <w:kern w:val="0"/>
          <w:sz w:val="32"/>
          <w:szCs w:val="32"/>
        </w:rPr>
        <w:t>按实施计划具体落实。</w:t>
      </w:r>
    </w:p>
    <w:p>
      <w:pPr>
        <w:pStyle w:val="10"/>
        <w:keepNext w:val="0"/>
        <w:keepLines w:val="0"/>
        <w:pageBreakBefore w:val="0"/>
        <w:kinsoku/>
        <w:wordWrap/>
        <w:overflowPunct/>
        <w:topLinePunct w:val="0"/>
        <w:autoSpaceDE/>
        <w:autoSpaceDN/>
        <w:bidi w:val="0"/>
        <w:adjustRightInd/>
        <w:snapToGrid/>
        <w:spacing w:line="240" w:lineRule="auto"/>
        <w:ind w:left="0" w:leftChars="0" w:right="0" w:rightChars="0" w:firstLine="640" w:firstLineChars="200"/>
        <w:jc w:val="both"/>
        <w:textAlignment w:val="auto"/>
        <w:rPr>
          <w:rFonts w:ascii="仿宋" w:hAnsi="仿宋" w:eastAsia="仿宋" w:cs="宋体"/>
          <w:color w:val="000000"/>
          <w:kern w:val="0"/>
          <w:sz w:val="32"/>
          <w:szCs w:val="32"/>
        </w:rPr>
      </w:pPr>
      <w:r>
        <w:rPr>
          <w:rFonts w:hint="eastAsia" w:ascii="仿宋" w:hAnsi="仿宋" w:eastAsia="仿宋" w:cs="宋体"/>
          <w:color w:val="000000"/>
          <w:kern w:val="0"/>
          <w:sz w:val="32"/>
          <w:szCs w:val="32"/>
          <w:lang w:val="en-US" w:eastAsia="zh-CN" w:bidi="ar-SA"/>
        </w:rPr>
        <w:t>（二）执行绩效监控情况。</w:t>
      </w:r>
      <w:r>
        <w:rPr>
          <w:rFonts w:hint="eastAsia" w:ascii="仿宋" w:hAnsi="仿宋" w:eastAsia="仿宋" w:cs="仿宋"/>
          <w:sz w:val="32"/>
          <w:szCs w:val="32"/>
          <w:lang w:eastAsia="zh-CN"/>
        </w:rPr>
        <w:t>项目的实施完成有效提升反映问题群众对纪委反馈结果的满意度，提高</w:t>
      </w:r>
      <w:r>
        <w:rPr>
          <w:rFonts w:hint="eastAsia" w:ascii="仿宋" w:hAnsi="仿宋" w:eastAsia="仿宋" w:cs="仿宋"/>
          <w:b w:val="0"/>
          <w:bCs/>
          <w:sz w:val="32"/>
          <w:szCs w:val="32"/>
          <w:u w:val="none"/>
          <w:vertAlign w:val="baseline"/>
          <w:lang w:eastAsia="zh-CN"/>
        </w:rPr>
        <w:t>按照要求和计划完成研究任务的项目在所有立项项目中的比例（百分比）。</w:t>
      </w:r>
      <w:r>
        <w:rPr>
          <w:rFonts w:hint="eastAsia" w:ascii="仿宋" w:hAnsi="仿宋" w:eastAsia="仿宋" w:cs="仿宋"/>
          <w:sz w:val="32"/>
          <w:szCs w:val="32"/>
          <w:lang w:eastAsia="zh-CN"/>
        </w:rPr>
        <w:t>严格进行绩效管理。</w:t>
      </w:r>
      <w:r>
        <w:rPr>
          <w:rFonts w:hint="eastAsia" w:ascii="仿宋" w:hAnsi="仿宋" w:eastAsia="仿宋" w:cs="仿宋"/>
          <w:sz w:val="32"/>
          <w:szCs w:val="32"/>
        </w:rPr>
        <w:t>加强支出源头控制和支出精细化管理，保证各项支出的规范、安全、有效。强化预算刚性约束，严格执行先有预算、后有支出的原则。严禁无预算或超预算支出，严禁虚列支出、转移或者套取预算资金，不得擅自改变预算资金支出用途。严格控制和规范办理预算调整事项，努力缩小预决算差异。</w:t>
      </w:r>
    </w:p>
    <w:p>
      <w:pPr>
        <w:keepNext w:val="0"/>
        <w:keepLines w:val="0"/>
        <w:pageBreakBefore w:val="0"/>
        <w:numPr>
          <w:ilvl w:val="0"/>
          <w:numId w:val="0"/>
        </w:numPr>
        <w:kinsoku/>
        <w:wordWrap/>
        <w:overflowPunct/>
        <w:topLinePunct w:val="0"/>
        <w:autoSpaceDE/>
        <w:autoSpaceDN/>
        <w:bidi w:val="0"/>
        <w:adjustRightInd/>
        <w:snapToGrid/>
        <w:spacing w:line="240" w:lineRule="auto"/>
        <w:ind w:left="0" w:leftChars="0" w:right="0" w:rightChars="0" w:firstLine="640" w:firstLineChars="200"/>
        <w:textAlignment w:val="auto"/>
        <w:rPr>
          <w:rFonts w:hint="eastAsia" w:ascii="仿宋" w:hAnsi="仿宋" w:eastAsia="仿宋" w:cs="仿宋"/>
          <w:sz w:val="32"/>
          <w:szCs w:val="32"/>
          <w:lang w:val="en-US" w:eastAsia="zh-CN"/>
        </w:rPr>
      </w:pPr>
      <w:r>
        <w:rPr>
          <w:rFonts w:hint="eastAsia" w:ascii="仿宋" w:hAnsi="仿宋" w:eastAsia="仿宋" w:cs="宋体"/>
          <w:color w:val="000000"/>
          <w:kern w:val="0"/>
          <w:sz w:val="32"/>
          <w:szCs w:val="32"/>
        </w:rPr>
        <w:t>（三）资金管理情况。</w:t>
      </w:r>
      <w:r>
        <w:rPr>
          <w:rFonts w:hint="eastAsia" w:ascii="仿宋" w:hAnsi="仿宋" w:eastAsia="仿宋" w:cs="仿宋"/>
          <w:sz w:val="32"/>
          <w:szCs w:val="32"/>
          <w:lang w:eastAsia="zh-CN"/>
        </w:rPr>
        <w:t>该项目资金预算安排</w:t>
      </w:r>
      <w:r>
        <w:rPr>
          <w:rFonts w:hint="eastAsia" w:ascii="仿宋" w:hAnsi="仿宋" w:eastAsia="仿宋" w:cs="仿宋"/>
          <w:sz w:val="32"/>
          <w:szCs w:val="32"/>
          <w:lang w:val="en-US" w:eastAsia="zh-CN"/>
        </w:rPr>
        <w:t>153万元，实际到位153万元，全部为财政拨款。实际支出152.70485万元。</w:t>
      </w:r>
    </w:p>
    <w:p>
      <w:pPr>
        <w:keepNext w:val="0"/>
        <w:keepLines w:val="0"/>
        <w:pageBreakBefore w:val="0"/>
        <w:numPr>
          <w:ilvl w:val="0"/>
          <w:numId w:val="0"/>
        </w:numPr>
        <w:kinsoku/>
        <w:wordWrap/>
        <w:overflowPunct/>
        <w:topLinePunct w:val="0"/>
        <w:autoSpaceDE/>
        <w:autoSpaceDN/>
        <w:bidi w:val="0"/>
        <w:adjustRightInd/>
        <w:snapToGrid/>
        <w:spacing w:line="240" w:lineRule="auto"/>
        <w:ind w:left="0" w:leftChars="0" w:right="0" w:rightChars="0" w:firstLine="640" w:firstLineChars="200"/>
        <w:textAlignment w:val="auto"/>
        <w:rPr>
          <w:rFonts w:hint="eastAsia" w:ascii="仿宋" w:hAnsi="仿宋" w:eastAsia="仿宋" w:cs="仿宋"/>
          <w:sz w:val="32"/>
          <w:szCs w:val="32"/>
        </w:rPr>
      </w:pPr>
      <w:r>
        <w:rPr>
          <w:rFonts w:hint="eastAsia" w:ascii="仿宋" w:hAnsi="仿宋" w:eastAsia="仿宋" w:cs="宋体"/>
          <w:color w:val="000000"/>
          <w:kern w:val="0"/>
          <w:sz w:val="32"/>
          <w:szCs w:val="32"/>
        </w:rPr>
        <w:t>（四）绩效管理制度建设及执行情况。</w:t>
      </w:r>
      <w:r>
        <w:rPr>
          <w:rFonts w:hint="eastAsia" w:ascii="仿宋" w:hAnsi="仿宋" w:eastAsia="仿宋" w:cs="仿宋"/>
          <w:color w:val="000000"/>
          <w:sz w:val="32"/>
          <w:szCs w:val="32"/>
        </w:rPr>
        <w:t>为加强财政支出管理，提高财政资金使用绩效</w:t>
      </w:r>
      <w:r>
        <w:rPr>
          <w:rFonts w:hint="eastAsia" w:ascii="仿宋" w:hAnsi="仿宋" w:eastAsia="仿宋" w:cs="仿宋"/>
          <w:color w:val="000000"/>
          <w:sz w:val="32"/>
          <w:szCs w:val="32"/>
          <w:lang w:eastAsia="zh-CN"/>
        </w:rPr>
        <w:t>。本单位严格</w:t>
      </w:r>
      <w:r>
        <w:rPr>
          <w:rFonts w:hint="eastAsia" w:ascii="仿宋" w:hAnsi="仿宋" w:eastAsia="仿宋" w:cs="仿宋"/>
          <w:color w:val="000000"/>
          <w:sz w:val="32"/>
          <w:szCs w:val="32"/>
        </w:rPr>
        <w:t>按照</w:t>
      </w:r>
      <w:r>
        <w:rPr>
          <w:rFonts w:hint="eastAsia" w:ascii="仿宋" w:hAnsi="仿宋" w:eastAsia="仿宋" w:cs="仿宋"/>
          <w:color w:val="000000"/>
          <w:sz w:val="32"/>
          <w:szCs w:val="32"/>
          <w:lang w:val="zh-CN"/>
        </w:rPr>
        <w:t>《隆尧县部门预算绩效管理办法》、</w:t>
      </w:r>
      <w:r>
        <w:rPr>
          <w:rFonts w:hint="eastAsia" w:ascii="仿宋" w:hAnsi="仿宋" w:eastAsia="仿宋" w:cs="仿宋"/>
          <w:color w:val="000000"/>
          <w:sz w:val="32"/>
          <w:szCs w:val="32"/>
        </w:rPr>
        <w:t>《隆尧县全面实施预算绩效管理推进工作方案》</w:t>
      </w:r>
      <w:r>
        <w:rPr>
          <w:rFonts w:hint="eastAsia" w:ascii="仿宋" w:hAnsi="仿宋" w:eastAsia="仿宋" w:cs="仿宋"/>
          <w:color w:val="000000"/>
          <w:sz w:val="32"/>
          <w:szCs w:val="32"/>
          <w:lang w:val="zh-CN"/>
        </w:rPr>
        <w:t>、《隆尧县县级部门绩效自评办法》</w:t>
      </w:r>
      <w:r>
        <w:rPr>
          <w:rFonts w:hint="eastAsia" w:ascii="仿宋" w:hAnsi="仿宋" w:eastAsia="仿宋" w:cs="仿宋"/>
          <w:color w:val="000000"/>
          <w:sz w:val="32"/>
          <w:szCs w:val="32"/>
        </w:rPr>
        <w:t>《财政部关于印发〈金融企业绩效评价办法〉的通知》相关要求</w:t>
      </w:r>
      <w:r>
        <w:rPr>
          <w:rFonts w:hint="eastAsia" w:ascii="仿宋" w:hAnsi="仿宋" w:eastAsia="仿宋" w:cs="仿宋"/>
          <w:color w:val="000000"/>
          <w:sz w:val="32"/>
          <w:szCs w:val="32"/>
          <w:lang w:eastAsia="zh-CN"/>
        </w:rPr>
        <w:t>进行绩效管理。</w:t>
      </w:r>
    </w:p>
    <w:p>
      <w:pPr>
        <w:widowControl/>
        <w:ind w:firstLine="472" w:firstLineChars="147"/>
        <w:rPr>
          <w:rFonts w:ascii="黑体" w:hAnsi="黑体" w:eastAsia="黑体" w:cs="宋体"/>
          <w:b/>
          <w:bCs/>
          <w:kern w:val="0"/>
          <w:sz w:val="32"/>
          <w:szCs w:val="32"/>
        </w:rPr>
      </w:pPr>
      <w:r>
        <w:rPr>
          <w:rFonts w:hint="eastAsia" w:ascii="黑体" w:hAnsi="黑体" w:eastAsia="黑体" w:cs="宋体"/>
          <w:b/>
          <w:bCs/>
          <w:kern w:val="0"/>
          <w:sz w:val="32"/>
          <w:szCs w:val="32"/>
        </w:rPr>
        <w:t>四、项目绩效自评情况</w:t>
      </w:r>
    </w:p>
    <w:p>
      <w:pPr>
        <w:keepNext w:val="0"/>
        <w:keepLines w:val="0"/>
        <w:pageBreakBefore w:val="0"/>
        <w:numPr>
          <w:ilvl w:val="0"/>
          <w:numId w:val="0"/>
        </w:numPr>
        <w:kinsoku/>
        <w:wordWrap/>
        <w:overflowPunct/>
        <w:topLinePunct w:val="0"/>
        <w:autoSpaceDE/>
        <w:autoSpaceDN/>
        <w:bidi w:val="0"/>
        <w:adjustRightInd/>
        <w:snapToGrid/>
        <w:spacing w:line="240" w:lineRule="auto"/>
        <w:ind w:left="0" w:leftChars="0" w:right="0" w:rightChars="0" w:firstLine="640" w:firstLineChars="200"/>
        <w:textAlignment w:val="auto"/>
        <w:rPr>
          <w:rFonts w:ascii="仿宋" w:hAnsi="仿宋" w:eastAsia="仿宋" w:cs="宋体"/>
          <w:color w:val="000000"/>
          <w:kern w:val="0"/>
          <w:sz w:val="32"/>
          <w:szCs w:val="32"/>
        </w:rPr>
      </w:pPr>
      <w:r>
        <w:rPr>
          <w:rFonts w:hint="eastAsia" w:ascii="仿宋" w:hAnsi="仿宋" w:eastAsia="仿宋" w:cs="宋体"/>
          <w:color w:val="000000"/>
          <w:kern w:val="0"/>
          <w:sz w:val="32"/>
          <w:szCs w:val="32"/>
        </w:rPr>
        <w:t>（一）项目自评组织情况。</w:t>
      </w:r>
      <w:r>
        <w:rPr>
          <w:rFonts w:hint="eastAsia" w:ascii="仿宋" w:hAnsi="仿宋" w:eastAsia="仿宋" w:cs="仿宋"/>
          <w:color w:val="000000"/>
          <w:sz w:val="32"/>
          <w:szCs w:val="32"/>
          <w:lang w:eastAsia="zh-CN"/>
        </w:rPr>
        <w:t>本单位成立自评小组，对项目资金情况、项目绩效目标情况等进行完成结果评价。</w:t>
      </w:r>
    </w:p>
    <w:p>
      <w:pPr>
        <w:keepNext w:val="0"/>
        <w:keepLines w:val="0"/>
        <w:pageBreakBefore w:val="0"/>
        <w:numPr>
          <w:ilvl w:val="0"/>
          <w:numId w:val="0"/>
        </w:numPr>
        <w:kinsoku/>
        <w:wordWrap/>
        <w:overflowPunct/>
        <w:topLinePunct w:val="0"/>
        <w:autoSpaceDE/>
        <w:autoSpaceDN/>
        <w:bidi w:val="0"/>
        <w:adjustRightInd/>
        <w:snapToGrid/>
        <w:spacing w:line="240" w:lineRule="auto"/>
        <w:ind w:left="0" w:leftChars="0" w:right="0" w:rightChars="0" w:firstLine="640" w:firstLineChars="200"/>
        <w:textAlignment w:val="auto"/>
        <w:rPr>
          <w:rFonts w:hint="eastAsia" w:ascii="仿宋" w:hAnsi="仿宋" w:eastAsia="仿宋" w:cs="宋体"/>
          <w:color w:val="000000"/>
          <w:kern w:val="0"/>
          <w:sz w:val="32"/>
          <w:szCs w:val="32"/>
          <w:lang w:val="en-US" w:eastAsia="zh-CN"/>
        </w:rPr>
      </w:pPr>
      <w:r>
        <w:rPr>
          <w:rFonts w:hint="eastAsia" w:ascii="仿宋" w:hAnsi="仿宋" w:eastAsia="仿宋" w:cs="宋体"/>
          <w:color w:val="000000"/>
          <w:kern w:val="0"/>
          <w:sz w:val="32"/>
          <w:szCs w:val="32"/>
        </w:rPr>
        <w:t>（二）项目评价结果。</w:t>
      </w:r>
      <w:r>
        <w:rPr>
          <w:rFonts w:hint="eastAsia" w:ascii="仿宋" w:hAnsi="仿宋" w:eastAsia="仿宋" w:cs="宋体"/>
          <w:color w:val="000000"/>
          <w:kern w:val="0"/>
          <w:sz w:val="32"/>
          <w:szCs w:val="32"/>
          <w:lang w:val="en-US" w:eastAsia="zh-CN"/>
        </w:rPr>
        <w:t>优秀</w:t>
      </w:r>
    </w:p>
    <w:p>
      <w:pPr>
        <w:widowControl/>
        <w:ind w:firstLine="472" w:firstLineChars="147"/>
        <w:rPr>
          <w:rFonts w:hint="eastAsia" w:ascii="黑体" w:hAnsi="黑体" w:eastAsia="黑体" w:cs="宋体"/>
          <w:b/>
          <w:bCs/>
          <w:kern w:val="0"/>
          <w:sz w:val="32"/>
          <w:szCs w:val="32"/>
        </w:rPr>
      </w:pPr>
      <w:r>
        <w:rPr>
          <w:rFonts w:hint="eastAsia" w:ascii="黑体" w:hAnsi="黑体" w:eastAsia="黑体" w:cs="宋体"/>
          <w:b/>
          <w:bCs/>
          <w:kern w:val="0"/>
          <w:sz w:val="32"/>
          <w:szCs w:val="32"/>
        </w:rPr>
        <w:t>五、项目存在的问题、改进工作的意见及建议</w:t>
      </w:r>
    </w:p>
    <w:p>
      <w:pPr>
        <w:keepNext w:val="0"/>
        <w:keepLines w:val="0"/>
        <w:pageBreakBefore w:val="0"/>
        <w:numPr>
          <w:ilvl w:val="0"/>
          <w:numId w:val="0"/>
        </w:numPr>
        <w:kinsoku/>
        <w:wordWrap/>
        <w:overflowPunct/>
        <w:topLinePunct w:val="0"/>
        <w:autoSpaceDE/>
        <w:autoSpaceDN/>
        <w:bidi w:val="0"/>
        <w:adjustRightInd/>
        <w:snapToGrid/>
        <w:spacing w:line="240" w:lineRule="auto"/>
        <w:ind w:left="0" w:leftChars="0" w:right="0" w:rightChars="0" w:firstLine="640" w:firstLineChars="200"/>
        <w:textAlignment w:val="auto"/>
        <w:rPr>
          <w:rFonts w:hint="eastAsia" w:ascii="仿宋" w:hAnsi="仿宋" w:eastAsia="仿宋" w:cs="仿宋"/>
          <w:color w:val="000000"/>
          <w:sz w:val="32"/>
          <w:szCs w:val="32"/>
          <w:lang w:eastAsia="zh-CN"/>
        </w:rPr>
      </w:pPr>
      <w:r>
        <w:rPr>
          <w:rFonts w:hint="eastAsia" w:ascii="仿宋" w:hAnsi="仿宋" w:eastAsia="仿宋" w:cs="宋体"/>
          <w:color w:val="000000"/>
          <w:kern w:val="0"/>
          <w:sz w:val="32"/>
          <w:szCs w:val="32"/>
        </w:rPr>
        <w:t>（一）项目实现绩效目标过程中存在的问题。</w:t>
      </w:r>
      <w:r>
        <w:rPr>
          <w:rFonts w:hint="eastAsia" w:ascii="仿宋" w:hAnsi="仿宋" w:eastAsia="仿宋" w:cs="仿宋"/>
          <w:color w:val="000000"/>
          <w:sz w:val="32"/>
          <w:szCs w:val="32"/>
          <w:lang w:eastAsia="zh-CN"/>
        </w:rPr>
        <w:t>经费未完成资金使用量。</w:t>
      </w:r>
    </w:p>
    <w:p>
      <w:pPr>
        <w:keepNext w:val="0"/>
        <w:keepLines w:val="0"/>
        <w:pageBreakBefore w:val="0"/>
        <w:numPr>
          <w:ilvl w:val="0"/>
          <w:numId w:val="0"/>
        </w:numPr>
        <w:kinsoku/>
        <w:wordWrap/>
        <w:overflowPunct/>
        <w:topLinePunct w:val="0"/>
        <w:autoSpaceDE/>
        <w:autoSpaceDN/>
        <w:bidi w:val="0"/>
        <w:adjustRightInd/>
        <w:snapToGrid/>
        <w:spacing w:line="240" w:lineRule="auto"/>
        <w:ind w:left="0" w:leftChars="0" w:right="0" w:rightChars="0" w:firstLine="640" w:firstLineChars="200"/>
        <w:textAlignment w:val="auto"/>
        <w:rPr>
          <w:rFonts w:hint="eastAsia" w:ascii="仿宋" w:hAnsi="仿宋" w:eastAsia="仿宋" w:cs="仿宋"/>
          <w:color w:val="000000"/>
          <w:sz w:val="32"/>
          <w:szCs w:val="32"/>
          <w:lang w:eastAsia="zh-CN"/>
        </w:rPr>
      </w:pPr>
      <w:r>
        <w:rPr>
          <w:rFonts w:hint="eastAsia" w:ascii="仿宋" w:hAnsi="仿宋" w:eastAsia="仿宋" w:cs="宋体"/>
          <w:color w:val="000000"/>
          <w:kern w:val="0"/>
          <w:sz w:val="32"/>
          <w:szCs w:val="32"/>
        </w:rPr>
        <w:t>（二）项目实施中改进意见及措施。</w:t>
      </w:r>
      <w:r>
        <w:rPr>
          <w:rFonts w:hint="eastAsia" w:ascii="仿宋" w:hAnsi="仿宋" w:eastAsia="仿宋" w:cs="仿宋"/>
          <w:color w:val="000000"/>
          <w:sz w:val="32"/>
          <w:szCs w:val="32"/>
          <w:lang w:eastAsia="zh-CN"/>
        </w:rPr>
        <w:t>加强项目谋划，充分考虑实际情况进行认真分析研究，按照有关规定要求精准测算预算资金，保障工程顺利实施，提高财政资金使用效益。进一步结合实际建立健全有关项目管理制度，落实专人负责制，规范项目工程和资金管理，加强督促协调，保障项目及时实施完成，发挥预期效益。</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 w:hAnsi="仿宋" w:eastAsia="仿宋" w:cs="仿宋"/>
          <w:color w:val="000000"/>
          <w:sz w:val="32"/>
          <w:szCs w:val="32"/>
          <w:lang w:eastAsia="zh-CN"/>
        </w:rPr>
      </w:pPr>
    </w:p>
    <w:p>
      <w:pPr>
        <w:keepNext w:val="0"/>
        <w:keepLines w:val="0"/>
        <w:pageBreakBefore w:val="0"/>
        <w:numPr>
          <w:ilvl w:val="0"/>
          <w:numId w:val="0"/>
        </w:numPr>
        <w:kinsoku/>
        <w:wordWrap/>
        <w:overflowPunct/>
        <w:topLinePunct w:val="0"/>
        <w:autoSpaceDE/>
        <w:autoSpaceDN/>
        <w:bidi w:val="0"/>
        <w:adjustRightInd/>
        <w:snapToGrid/>
        <w:spacing w:line="240" w:lineRule="auto"/>
        <w:ind w:left="0" w:leftChars="0" w:right="0" w:rightChars="0" w:firstLine="640" w:firstLineChars="200"/>
        <w:textAlignment w:val="auto"/>
        <w:rPr>
          <w:rFonts w:hint="eastAsia" w:ascii="仿宋" w:hAnsi="仿宋" w:eastAsia="仿宋" w:cs="宋体"/>
          <w:color w:val="000000"/>
          <w:kern w:val="0"/>
          <w:sz w:val="32"/>
          <w:szCs w:val="32"/>
        </w:rPr>
      </w:pPr>
    </w:p>
    <w:p>
      <w:pPr>
        <w:rPr>
          <w:rFonts w:ascii="仿宋" w:hAnsi="仿宋" w:eastAsia="仿宋"/>
          <w:sz w:val="28"/>
          <w:szCs w:val="28"/>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0000000000000000000"/>
    <w:charset w:val="00"/>
    <w:family w:val="auto"/>
    <w:pitch w:val="default"/>
    <w:sig w:usb0="00000000" w:usb1="00000000" w:usb2="00000000" w:usb3="00000000" w:csb0="00040001" w:csb1="00000000"/>
  </w:font>
  <w:font w:name="仿宋">
    <w:panose1 w:val="02010609060101010101"/>
    <w:charset w:val="86"/>
    <w:family w:val="modern"/>
    <w:pitch w:val="default"/>
    <w:sig w:usb0="800002BF" w:usb1="38CF7CFA" w:usb2="00000016" w:usb3="00000000" w:csb0="00040001" w:csb1="00000000"/>
  </w:font>
  <w:font w:name="方正书宋_GBK">
    <w:altName w:val="微软雅黑"/>
    <w:panose1 w:val="00000000000000000000"/>
    <w:charset w:val="00"/>
    <w:family w:val="auto"/>
    <w:pitch w:val="default"/>
    <w:sig w:usb0="00000000" w:usb1="00000000" w:usb2="00000000"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center"/>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874EA3"/>
    <w:multiLevelType w:val="multilevel"/>
    <w:tmpl w:val="13874EA3"/>
    <w:lvl w:ilvl="0" w:tentative="0">
      <w:start w:val="1"/>
      <w:numFmt w:val="japaneseCounting"/>
      <w:lvlText w:val="%1、"/>
      <w:lvlJc w:val="left"/>
      <w:pPr>
        <w:ind w:left="1192" w:hanging="720"/>
      </w:pPr>
      <w:rPr>
        <w:rFonts w:hint="default"/>
      </w:rPr>
    </w:lvl>
    <w:lvl w:ilvl="1" w:tentative="0">
      <w:start w:val="1"/>
      <w:numFmt w:val="lowerLetter"/>
      <w:lvlText w:val="%2)"/>
      <w:lvlJc w:val="left"/>
      <w:pPr>
        <w:ind w:left="1312" w:hanging="420"/>
      </w:pPr>
    </w:lvl>
    <w:lvl w:ilvl="2" w:tentative="0">
      <w:start w:val="1"/>
      <w:numFmt w:val="lowerRoman"/>
      <w:lvlText w:val="%3."/>
      <w:lvlJc w:val="right"/>
      <w:pPr>
        <w:ind w:left="1732" w:hanging="420"/>
      </w:pPr>
    </w:lvl>
    <w:lvl w:ilvl="3" w:tentative="0">
      <w:start w:val="1"/>
      <w:numFmt w:val="decimal"/>
      <w:lvlText w:val="%4."/>
      <w:lvlJc w:val="left"/>
      <w:pPr>
        <w:ind w:left="2152" w:hanging="420"/>
      </w:pPr>
    </w:lvl>
    <w:lvl w:ilvl="4" w:tentative="0">
      <w:start w:val="1"/>
      <w:numFmt w:val="lowerLetter"/>
      <w:lvlText w:val="%5)"/>
      <w:lvlJc w:val="left"/>
      <w:pPr>
        <w:ind w:left="2572" w:hanging="420"/>
      </w:pPr>
    </w:lvl>
    <w:lvl w:ilvl="5" w:tentative="0">
      <w:start w:val="1"/>
      <w:numFmt w:val="lowerRoman"/>
      <w:lvlText w:val="%6."/>
      <w:lvlJc w:val="right"/>
      <w:pPr>
        <w:ind w:left="2992" w:hanging="420"/>
      </w:pPr>
    </w:lvl>
    <w:lvl w:ilvl="6" w:tentative="0">
      <w:start w:val="1"/>
      <w:numFmt w:val="decimal"/>
      <w:lvlText w:val="%7."/>
      <w:lvlJc w:val="left"/>
      <w:pPr>
        <w:ind w:left="3412" w:hanging="420"/>
      </w:pPr>
    </w:lvl>
    <w:lvl w:ilvl="7" w:tentative="0">
      <w:start w:val="1"/>
      <w:numFmt w:val="lowerLetter"/>
      <w:lvlText w:val="%8)"/>
      <w:lvlJc w:val="left"/>
      <w:pPr>
        <w:ind w:left="3832" w:hanging="420"/>
      </w:pPr>
    </w:lvl>
    <w:lvl w:ilvl="8" w:tentative="0">
      <w:start w:val="1"/>
      <w:numFmt w:val="lowerRoman"/>
      <w:lvlText w:val="%9."/>
      <w:lvlJc w:val="right"/>
      <w:pPr>
        <w:ind w:left="4252" w:hanging="420"/>
      </w:pPr>
    </w:lvl>
  </w:abstractNum>
  <w:abstractNum w:abstractNumId="1">
    <w:nsid w:val="6041AC16"/>
    <w:multiLevelType w:val="singleLevel"/>
    <w:tmpl w:val="6041AC16"/>
    <w:lvl w:ilvl="0" w:tentative="0">
      <w:start w:val="1"/>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C047EA"/>
    <w:rsid w:val="000B6188"/>
    <w:rsid w:val="001D2EAA"/>
    <w:rsid w:val="002C71AF"/>
    <w:rsid w:val="0036746E"/>
    <w:rsid w:val="00476898"/>
    <w:rsid w:val="00584A12"/>
    <w:rsid w:val="00661BB7"/>
    <w:rsid w:val="006A012B"/>
    <w:rsid w:val="006C0284"/>
    <w:rsid w:val="00767F1C"/>
    <w:rsid w:val="007A1805"/>
    <w:rsid w:val="008E0144"/>
    <w:rsid w:val="00C047EA"/>
    <w:rsid w:val="00C569E2"/>
    <w:rsid w:val="00C91487"/>
    <w:rsid w:val="00CA444D"/>
    <w:rsid w:val="00FC3534"/>
    <w:rsid w:val="00FE09BC"/>
    <w:rsid w:val="013569E6"/>
    <w:rsid w:val="15A768E4"/>
    <w:rsid w:val="15DD526F"/>
    <w:rsid w:val="1BC808EF"/>
    <w:rsid w:val="1E044C67"/>
    <w:rsid w:val="22863883"/>
    <w:rsid w:val="31B46D0D"/>
    <w:rsid w:val="3CBF5411"/>
    <w:rsid w:val="3D170FE6"/>
    <w:rsid w:val="405E7B77"/>
    <w:rsid w:val="41AA6E14"/>
    <w:rsid w:val="51DC77AD"/>
    <w:rsid w:val="58875464"/>
    <w:rsid w:val="5CE42854"/>
    <w:rsid w:val="66064A9F"/>
    <w:rsid w:val="661E00C7"/>
    <w:rsid w:val="662F4CCE"/>
    <w:rsid w:val="663C2858"/>
    <w:rsid w:val="6A15794A"/>
    <w:rsid w:val="6C031120"/>
    <w:rsid w:val="6FDF13C1"/>
    <w:rsid w:val="715D531B"/>
    <w:rsid w:val="7D9A52D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unhideWhenUsed/>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7">
    <w:name w:val="页眉 Char"/>
    <w:basedOn w:val="4"/>
    <w:link w:val="3"/>
    <w:semiHidden/>
    <w:qFormat/>
    <w:uiPriority w:val="99"/>
    <w:rPr>
      <w:sz w:val="18"/>
      <w:szCs w:val="18"/>
    </w:rPr>
  </w:style>
  <w:style w:type="character" w:customStyle="1" w:styleId="8">
    <w:name w:val="页脚 Char"/>
    <w:basedOn w:val="4"/>
    <w:link w:val="2"/>
    <w:semiHidden/>
    <w:qFormat/>
    <w:uiPriority w:val="99"/>
    <w:rPr>
      <w:sz w:val="18"/>
      <w:szCs w:val="18"/>
    </w:rPr>
  </w:style>
  <w:style w:type="paragraph" w:customStyle="1" w:styleId="9">
    <w:name w:val="List Paragraph"/>
    <w:basedOn w:val="1"/>
    <w:qFormat/>
    <w:uiPriority w:val="34"/>
    <w:pPr>
      <w:ind w:firstLine="420" w:firstLineChars="200"/>
    </w:pPr>
  </w:style>
  <w:style w:type="paragraph" w:customStyle="1" w:styleId="10">
    <w:name w:val="无间隔1"/>
    <w:qFormat/>
    <w:uiPriority w:val="0"/>
    <w:pPr>
      <w:ind w:firstLine="200" w:firstLineChars="200"/>
    </w:pPr>
    <w:rPr>
      <w:rFonts w:ascii="Times New Roman" w:hAnsi="Times New Roman" w:eastAsia="仿宋_GB2312" w:cs="Times New Roman"/>
      <w:sz w:val="30"/>
      <w:szCs w:val="22"/>
      <w:lang w:val="en-US" w:eastAsia="zh-CN" w:bidi="ar-S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theme/theme1.xml" Type="http://schemas.openxmlformats.org/officeDocument/2006/relationships/theme"/><Relationship Id="rId5" Target="../customXml/item1.xml" Type="http://schemas.openxmlformats.org/officeDocument/2006/relationships/customXml"/><Relationship Id="rId6" Target="numbering.xml" Type="http://schemas.openxmlformats.org/officeDocument/2006/relationships/numbering"/><Relationship Id="rId7"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Pages>
  <Words>95</Words>
  <Characters>543</Characters>
  <Lines>4</Lines>
  <Paragraphs>1</Paragraphs>
  <ScaleCrop>false</ScaleCrop>
  <LinksUpToDate>false</LinksUpToDate>
  <CharactersWithSpaces>637</CharactersWithSpaces>
  <Application>WPS Office_10.1.0.6554_F1E327BC-269C-435d-A152-05C5408002CA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2022-03-02T02:51:00Z</dcterms:created>
  <dc:creator>lenovo</dc:creator>
  <cp:lastModifiedBy>Administrator</cp:lastModifiedBy>
  <cp:lastPrinted>2022-03-03T03:27:00Z</cp:lastPrinted>
  <dcterms:modified xsi:type="dcterms:W3CDTF">2022-03-18T03:19:58Z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2052-10.1.0.6554</vt:lpwstr>
  </property>
</Properties>
</file>