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bookmarkStart w:id="0" w:name="_GoBack"/>
      <w:bookmarkEnd w:id="0"/>
    </w:p>
    <w:p>
      <w:pPr>
        <w:spacing w:line="480" w:lineRule="exact"/>
        <w:jc w:val="center"/>
        <w:rPr>
          <w:rFonts w:ascii="宋体" w:hAnsi="宋体"/>
          <w:b/>
          <w:sz w:val="44"/>
          <w:szCs w:val="44"/>
        </w:rPr>
      </w:pPr>
      <w:r>
        <w:rPr>
          <w:rFonts w:hint="eastAsia" w:ascii="宋体" w:hAnsi="宋体"/>
          <w:b/>
          <w:sz w:val="44"/>
          <w:szCs w:val="44"/>
        </w:rPr>
        <w:t>隆尧县</w:t>
      </w:r>
      <w:r>
        <w:rPr>
          <w:rFonts w:hint="eastAsia" w:ascii="宋体" w:hAnsi="宋体"/>
          <w:b/>
          <w:sz w:val="44"/>
          <w:szCs w:val="44"/>
          <w:lang w:eastAsia="zh-CN"/>
        </w:rPr>
        <w:t>残疾人联合会</w:t>
      </w:r>
      <w:r>
        <w:rPr>
          <w:rFonts w:hint="eastAsia" w:ascii="宋体" w:hAnsi="宋体"/>
          <w:b/>
          <w:sz w:val="44"/>
          <w:szCs w:val="44"/>
        </w:rPr>
        <w:t>2021年</w:t>
      </w:r>
    </w:p>
    <w:p>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w:t>
      </w:r>
      <w:r>
        <w:rPr>
          <w:rFonts w:hint="eastAsia" w:ascii="仿宋" w:hAnsi="仿宋" w:eastAsia="仿宋" w:cs="仿宋"/>
          <w:sz w:val="24"/>
          <w:szCs w:val="24"/>
          <w:lang w:eastAsia="zh-CN"/>
        </w:rPr>
        <w:t>残联</w:t>
      </w:r>
      <w:r>
        <w:rPr>
          <w:rFonts w:hint="eastAsia" w:ascii="仿宋" w:hAnsi="仿宋" w:eastAsia="仿宋" w:cs="仿宋"/>
          <w:sz w:val="24"/>
          <w:szCs w:val="24"/>
        </w:rPr>
        <w:t xml:space="preserve"> (公章)         单位负责人: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符合（1）；</w:t>
            </w:r>
          </w:p>
          <w:p>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“三公经费”变动率（2分）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“三公经费”：年度预算安排的因公出国（境）费、公务车辆购置及运行费和公务招待费。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）－min（</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pPr>
              <w:widowControl/>
              <w:spacing w:line="240" w:lineRule="exact"/>
              <w:jc w:val="left"/>
              <w:rPr>
                <w:szCs w:val="21"/>
              </w:rPr>
            </w:pPr>
            <w:r>
              <w:rPr>
                <w:rFonts w:ascii="仿宋_GB2312" w:hAnsi="新宋体" w:eastAsia="仿宋_GB2312" w:cs="仿宋_GB2312"/>
                <w:kern w:val="0"/>
                <w:szCs w:val="21"/>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pPr>
              <w:widowControl/>
              <w:spacing w:line="240" w:lineRule="exact"/>
              <w:jc w:val="left"/>
              <w:rPr>
                <w:szCs w:val="21"/>
              </w:rPr>
            </w:pPr>
            <w:r>
              <w:rPr>
                <w:rFonts w:ascii="仿宋_GB2312" w:hAnsi="新宋体" w:eastAsia="仿宋_GB2312" w:cs="仿宋_GB2312"/>
                <w:kern w:val="0"/>
                <w:szCs w:val="21"/>
              </w:rPr>
              <w:t>3.项目的重大开支经过评估论证；</w:t>
            </w:r>
          </w:p>
          <w:p>
            <w:pPr>
              <w:widowControl/>
              <w:spacing w:line="240" w:lineRule="exact"/>
              <w:jc w:val="left"/>
              <w:rPr>
                <w:szCs w:val="21"/>
              </w:rPr>
            </w:pPr>
            <w:r>
              <w:rPr>
                <w:rFonts w:ascii="仿宋_GB2312" w:hAnsi="新宋体" w:eastAsia="仿宋_GB2312" w:cs="仿宋_GB2312"/>
                <w:kern w:val="0"/>
                <w:szCs w:val="21"/>
              </w:rPr>
              <w:t>4.符合部门预算批复的用途；</w:t>
            </w:r>
          </w:p>
          <w:p>
            <w:pPr>
              <w:widowControl/>
              <w:spacing w:line="240" w:lineRule="exact"/>
              <w:jc w:val="left"/>
              <w:rPr>
                <w:szCs w:val="21"/>
              </w:rPr>
            </w:pPr>
            <w:r>
              <w:rPr>
                <w:rFonts w:ascii="仿宋_GB2312" w:hAnsi="新宋体" w:eastAsia="仿宋_GB2312" w:cs="仿宋_GB2312"/>
                <w:kern w:val="0"/>
                <w:szCs w:val="21"/>
              </w:rPr>
              <w:t>5.不存在截留情况；</w:t>
            </w:r>
          </w:p>
          <w:p>
            <w:pPr>
              <w:widowControl/>
              <w:spacing w:line="240" w:lineRule="exact"/>
              <w:jc w:val="left"/>
              <w:rPr>
                <w:szCs w:val="21"/>
              </w:rPr>
            </w:pPr>
            <w:r>
              <w:rPr>
                <w:rFonts w:ascii="仿宋_GB2312" w:hAnsi="新宋体" w:eastAsia="仿宋_GB2312" w:cs="仿宋_GB2312"/>
                <w:kern w:val="0"/>
                <w:szCs w:val="21"/>
              </w:rPr>
              <w:t>6.不存在挤占情况；</w:t>
            </w:r>
          </w:p>
          <w:p>
            <w:pPr>
              <w:widowControl/>
              <w:spacing w:line="240" w:lineRule="exact"/>
              <w:jc w:val="left"/>
              <w:rPr>
                <w:szCs w:val="21"/>
              </w:rPr>
            </w:pPr>
            <w:r>
              <w:rPr>
                <w:rFonts w:ascii="仿宋_GB2312" w:hAnsi="新宋体" w:eastAsia="仿宋_GB2312" w:cs="仿宋_GB2312"/>
                <w:kern w:val="0"/>
                <w:szCs w:val="21"/>
              </w:rPr>
              <w:t>7.不存在挪用情况；</w:t>
            </w:r>
          </w:p>
          <w:p>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全部符合（8）；</w:t>
            </w:r>
          </w:p>
          <w:p>
            <w:pPr>
              <w:widowControl/>
              <w:spacing w:line="240" w:lineRule="exact"/>
              <w:jc w:val="left"/>
              <w:rPr>
                <w:szCs w:val="21"/>
              </w:rPr>
            </w:pPr>
            <w:r>
              <w:rPr>
                <w:rFonts w:ascii="仿宋_GB2312" w:hAnsi="新宋体" w:eastAsia="仿宋_GB2312" w:cs="仿宋_GB2312"/>
                <w:kern w:val="0"/>
                <w:szCs w:val="21"/>
              </w:rPr>
              <w:t>符合其中七项（6）；</w:t>
            </w:r>
          </w:p>
          <w:p>
            <w:pPr>
              <w:widowControl/>
              <w:spacing w:line="240" w:lineRule="exact"/>
              <w:jc w:val="left"/>
              <w:rPr>
                <w:szCs w:val="21"/>
              </w:rPr>
            </w:pPr>
            <w:r>
              <w:rPr>
                <w:rFonts w:ascii="仿宋_GB2312" w:hAnsi="新宋体" w:eastAsia="仿宋_GB2312" w:cs="仿宋_GB2312"/>
                <w:kern w:val="0"/>
                <w:szCs w:val="21"/>
              </w:rPr>
              <w:t>符合其中六项（4）；</w:t>
            </w:r>
          </w:p>
          <w:p>
            <w:pPr>
              <w:widowControl/>
              <w:spacing w:line="240" w:lineRule="exact"/>
              <w:jc w:val="left"/>
              <w:rPr>
                <w:szCs w:val="21"/>
              </w:rPr>
            </w:pPr>
            <w:r>
              <w:rPr>
                <w:rFonts w:ascii="仿宋_GB2312" w:hAnsi="新宋体" w:eastAsia="仿宋_GB2312" w:cs="仿宋_GB2312"/>
                <w:kern w:val="0"/>
                <w:szCs w:val="21"/>
              </w:rPr>
              <w:t>符合其中五项（2）；</w:t>
            </w:r>
          </w:p>
          <w:p>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1.公开预决算信息；</w:t>
            </w:r>
          </w:p>
          <w:p>
            <w:pPr>
              <w:widowControl/>
              <w:spacing w:line="240" w:lineRule="exact"/>
              <w:jc w:val="left"/>
              <w:rPr>
                <w:szCs w:val="21"/>
              </w:rPr>
            </w:pPr>
            <w:r>
              <w:rPr>
                <w:rFonts w:ascii="仿宋_GB2312" w:hAnsi="新宋体" w:eastAsia="仿宋_GB2312" w:cs="仿宋_GB2312"/>
                <w:kern w:val="0"/>
                <w:szCs w:val="21"/>
              </w:rPr>
              <w:t>2.按规定内容公开预决算信息；</w:t>
            </w:r>
          </w:p>
          <w:p>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1.基本财务管理制度健全；</w:t>
            </w:r>
          </w:p>
          <w:p>
            <w:pPr>
              <w:widowControl/>
              <w:spacing w:line="240" w:lineRule="exact"/>
              <w:jc w:val="left"/>
              <w:rPr>
                <w:szCs w:val="21"/>
              </w:rPr>
            </w:pPr>
            <w:r>
              <w:rPr>
                <w:rFonts w:ascii="仿宋_GB2312" w:hAnsi="新宋体" w:eastAsia="仿宋_GB2312" w:cs="仿宋_GB2312"/>
                <w:kern w:val="0"/>
                <w:szCs w:val="21"/>
              </w:rPr>
              <w:t>2.基础数据信息和会计信息资料真实；</w:t>
            </w:r>
          </w:p>
          <w:p>
            <w:pPr>
              <w:widowControl/>
              <w:spacing w:line="240" w:lineRule="exact"/>
              <w:jc w:val="left"/>
              <w:rPr>
                <w:szCs w:val="21"/>
              </w:rPr>
            </w:pPr>
            <w:r>
              <w:rPr>
                <w:rFonts w:ascii="仿宋_GB2312" w:hAnsi="新宋体" w:eastAsia="仿宋_GB2312" w:cs="仿宋_GB2312"/>
                <w:kern w:val="0"/>
                <w:szCs w:val="21"/>
              </w:rPr>
              <w:t>3.基础数据信息和会计信息资料完整；</w:t>
            </w:r>
          </w:p>
          <w:p>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符合全部四项（4）；</w:t>
            </w:r>
          </w:p>
          <w:p>
            <w:pPr>
              <w:widowControl/>
              <w:spacing w:line="240" w:lineRule="exact"/>
              <w:jc w:val="left"/>
              <w:rPr>
                <w:szCs w:val="21"/>
              </w:rPr>
            </w:pPr>
            <w:r>
              <w:rPr>
                <w:rFonts w:ascii="仿宋_GB2312" w:hAnsi="新宋体" w:eastAsia="仿宋_GB2312" w:cs="仿宋_GB2312"/>
                <w:kern w:val="0"/>
                <w:szCs w:val="21"/>
              </w:rPr>
              <w:t>符合其中三项（2）；</w:t>
            </w:r>
          </w:p>
          <w:p>
            <w:pPr>
              <w:widowControl/>
              <w:spacing w:line="240" w:lineRule="exact"/>
              <w:jc w:val="left"/>
              <w:rPr>
                <w:szCs w:val="21"/>
              </w:rPr>
            </w:pPr>
            <w:r>
              <w:rPr>
                <w:rFonts w:ascii="仿宋_GB2312" w:hAnsi="新宋体" w:eastAsia="仿宋_GB2312" w:cs="仿宋_GB2312"/>
                <w:kern w:val="0"/>
                <w:szCs w:val="21"/>
              </w:rPr>
              <w:t>符合其中两项（1）；</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1.资产保存完整；</w:t>
            </w:r>
          </w:p>
          <w:p>
            <w:pPr>
              <w:widowControl/>
              <w:spacing w:line="240" w:lineRule="exact"/>
              <w:jc w:val="left"/>
              <w:rPr>
                <w:szCs w:val="21"/>
              </w:rPr>
            </w:pPr>
            <w:r>
              <w:rPr>
                <w:rFonts w:ascii="仿宋_GB2312" w:hAnsi="新宋体" w:eastAsia="仿宋_GB2312" w:cs="仿宋_GB2312"/>
                <w:kern w:val="0"/>
                <w:szCs w:val="21"/>
              </w:rPr>
              <w:t>2.资产账务管理是否合规，帐实相符；</w:t>
            </w:r>
          </w:p>
          <w:p>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符合全部三项（3）；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bl>
    <w:p>
      <w:pPr>
        <w:rPr>
          <w:rFonts w:ascii="黑体" w:hAnsi="黑体" w:eastAsia="黑体" w:cs="黑体"/>
          <w:b/>
          <w:bCs/>
          <w:sz w:val="30"/>
          <w:szCs w:val="30"/>
        </w:rPr>
      </w:pPr>
    </w:p>
    <w:p>
      <w:pPr>
        <w:rPr>
          <w:rFonts w:ascii="黑体" w:hAnsi="黑体" w:eastAsia="黑体" w:cs="黑体"/>
          <w:b/>
          <w:bCs/>
          <w:sz w:val="30"/>
          <w:szCs w:val="30"/>
        </w:rPr>
      </w:pPr>
    </w:p>
    <w:p>
      <w:pPr>
        <w:ind w:firstLine="780"/>
        <w:jc w:val="center"/>
        <w:rPr>
          <w:rFonts w:hint="eastAsia" w:cs="黑体" w:asciiTheme="minorEastAsia" w:hAnsiTheme="minorEastAsia" w:eastAsiaTheme="minorEastAsia"/>
          <w:b/>
          <w:bCs/>
          <w:sz w:val="44"/>
          <w:szCs w:val="44"/>
          <w:lang w:eastAsia="zh-CN"/>
        </w:rPr>
      </w:pPr>
      <w:r>
        <w:rPr>
          <w:rFonts w:hint="eastAsia" w:cs="黑体" w:asciiTheme="minorEastAsia" w:hAnsiTheme="minorEastAsia"/>
          <w:b/>
          <w:bCs/>
          <w:sz w:val="44"/>
          <w:szCs w:val="44"/>
        </w:rPr>
        <w:t>隆尧县</w:t>
      </w:r>
      <w:r>
        <w:rPr>
          <w:rFonts w:hint="eastAsia" w:cs="黑体" w:asciiTheme="minorEastAsia" w:hAnsiTheme="minorEastAsia"/>
          <w:b/>
          <w:bCs/>
          <w:sz w:val="44"/>
          <w:szCs w:val="44"/>
          <w:lang w:eastAsia="zh-CN"/>
        </w:rPr>
        <w:t>残疾人联合会</w:t>
      </w:r>
    </w:p>
    <w:p>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pPr>
        <w:adjustRightInd w:val="0"/>
        <w:ind w:firstLine="640" w:firstLineChars="200"/>
        <w:rPr>
          <w:rFonts w:hint="eastAsia" w:ascii="仿宋" w:hAnsi="仿宋" w:eastAsia="仿宋" w:cs="仿宋_GB2312"/>
          <w:b/>
          <w:bCs/>
          <w:sz w:val="32"/>
          <w:szCs w:val="32"/>
        </w:rPr>
      </w:pPr>
      <w:r>
        <w:rPr>
          <w:rFonts w:hint="eastAsia" w:ascii="仿宋" w:hAnsi="仿宋" w:eastAsia="仿宋" w:cs="仿宋"/>
          <w:sz w:val="32"/>
          <w:szCs w:val="32"/>
        </w:rPr>
        <w:t>(一)部门主要职责职能和部门组织架构</w:t>
      </w:r>
    </w:p>
    <w:p>
      <w:pPr>
        <w:ind w:firstLine="630"/>
        <w:rPr>
          <w:rFonts w:hint="eastAsia" w:ascii="仿宋" w:hAnsi="仿宋" w:eastAsia="仿宋" w:cs="仿宋"/>
          <w:sz w:val="32"/>
          <w:szCs w:val="32"/>
        </w:rPr>
      </w:pPr>
      <w:r>
        <w:rPr>
          <w:rFonts w:hint="eastAsia" w:ascii="仿宋" w:hAnsi="仿宋" w:eastAsia="仿宋" w:cs="仿宋"/>
          <w:sz w:val="32"/>
          <w:szCs w:val="32"/>
        </w:rPr>
        <w:t xml:space="preserve"> 1、</w:t>
      </w:r>
      <w:r>
        <w:rPr>
          <w:rFonts w:hint="eastAsia" w:ascii="仿宋" w:hAnsi="仿宋" w:eastAsia="仿宋" w:cs="仿宋"/>
          <w:sz w:val="32"/>
          <w:szCs w:val="32"/>
        </w:rPr>
        <w:t>健全残疾人法律服务体系，切实保障残疾人合法权益；全面推进城乡无障碍环境建设；开展康复、扶贫、教育培训等活动，直接为残疾人服务</w:t>
      </w:r>
    </w:p>
    <w:p>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2、对持证残疾人需求情况进行调查，加强和规范残疾人基层组织建设，协调残疾人就业保障金的征收，加强残疾人工作建设。</w:t>
      </w:r>
      <w:r>
        <w:rPr>
          <w:rFonts w:hint="eastAsia" w:ascii="仿宋" w:hAnsi="仿宋" w:eastAsia="仿宋" w:cs="仿宋"/>
          <w:kern w:val="0"/>
          <w:sz w:val="32"/>
          <w:szCs w:val="32"/>
        </w:rPr>
        <w:t>。</w:t>
      </w:r>
    </w:p>
    <w:p>
      <w:pPr>
        <w:keepNext w:val="0"/>
        <w:keepLines w:val="0"/>
        <w:pageBreakBefore w:val="0"/>
        <w:widowControl/>
        <w:kinsoku/>
        <w:wordWrap/>
        <w:overflowPunct/>
        <w:topLinePunct w:val="0"/>
        <w:autoSpaceDE/>
        <w:autoSpaceDN/>
        <w:bidi w:val="0"/>
        <w:adjustRightInd/>
        <w:snapToGrid/>
        <w:spacing w:line="360" w:lineRule="auto"/>
        <w:ind w:left="0" w:firstLine="640" w:firstLineChars="200"/>
        <w:jc w:val="left"/>
        <w:textAlignment w:val="auto"/>
        <w:rPr>
          <w:rFonts w:hint="eastAsia" w:ascii="仿宋" w:hAnsi="仿宋" w:eastAsia="仿宋" w:cs="仿宋"/>
          <w:kern w:val="0"/>
          <w:sz w:val="32"/>
          <w:szCs w:val="32"/>
        </w:rPr>
      </w:pPr>
      <w:r>
        <w:rPr>
          <w:rFonts w:hint="eastAsia" w:ascii="仿宋" w:hAnsi="仿宋" w:eastAsia="仿宋" w:cs="仿宋"/>
          <w:b w:val="0"/>
          <w:bCs w:val="0"/>
          <w:sz w:val="32"/>
          <w:szCs w:val="32"/>
          <w:lang w:val="en-US" w:eastAsia="zh-CN"/>
        </w:rPr>
        <w:t>3、部门组织架构</w:t>
      </w:r>
      <w:r>
        <w:rPr>
          <w:rFonts w:hint="eastAsia" w:ascii="仿宋" w:hAnsi="仿宋" w:eastAsia="仿宋" w:cs="仿宋"/>
          <w:b w:val="0"/>
          <w:bCs w:val="0"/>
          <w:sz w:val="32"/>
          <w:szCs w:val="32"/>
          <w:lang w:eastAsia="zh-CN"/>
        </w:rPr>
        <w:t>：</w:t>
      </w:r>
      <w:r>
        <w:rPr>
          <w:rFonts w:hint="eastAsia" w:ascii="仿宋" w:hAnsi="仿宋" w:eastAsia="仿宋" w:cs="仿宋"/>
          <w:sz w:val="32"/>
          <w:szCs w:val="32"/>
          <w:lang w:eastAsia="zh-CN"/>
        </w:rPr>
        <w:t>隆尧县残疾人联合会</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属一级预算单位</w:t>
      </w:r>
      <w:r>
        <w:rPr>
          <w:rFonts w:hint="eastAsia" w:ascii="仿宋" w:hAnsi="仿宋" w:eastAsia="仿宋" w:cs="仿宋"/>
          <w:kern w:val="0"/>
          <w:sz w:val="32"/>
          <w:szCs w:val="32"/>
          <w:lang w:eastAsia="zh-CN"/>
        </w:rPr>
        <w:t>。下设二个部室，分别为</w:t>
      </w:r>
      <w:r>
        <w:rPr>
          <w:rFonts w:hint="eastAsia" w:ascii="仿宋" w:hAnsi="仿宋" w:eastAsia="仿宋" w:cs="仿宋"/>
          <w:kern w:val="0"/>
          <w:sz w:val="32"/>
          <w:szCs w:val="32"/>
        </w:rPr>
        <w:t>办公室、</w:t>
      </w:r>
      <w:r>
        <w:rPr>
          <w:rFonts w:hint="eastAsia" w:ascii="仿宋" w:hAnsi="仿宋" w:eastAsia="仿宋" w:cs="仿宋"/>
          <w:kern w:val="0"/>
          <w:sz w:val="32"/>
          <w:szCs w:val="32"/>
          <w:lang w:eastAsia="zh-CN"/>
        </w:rPr>
        <w:t>教育就业康复部</w:t>
      </w:r>
      <w:r>
        <w:rPr>
          <w:rFonts w:hint="eastAsia" w:ascii="仿宋" w:hAnsi="仿宋" w:eastAsia="仿宋" w:cs="仿宋"/>
          <w:kern w:val="0"/>
          <w:sz w:val="32"/>
          <w:szCs w:val="32"/>
          <w:lang w:val="en-US" w:eastAsia="zh-CN"/>
        </w:rPr>
        <w:t>。</w:t>
      </w:r>
    </w:p>
    <w:p>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(正文仿宋3号)</w:t>
      </w:r>
    </w:p>
    <w:p>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人员及资产情况。</w:t>
      </w:r>
    </w:p>
    <w:p>
      <w:pPr>
        <w:numPr>
          <w:numId w:val="0"/>
        </w:numPr>
        <w:adjustRightInd w:val="0"/>
        <w:ind w:left="480" w:leftChars="0"/>
        <w:rPr>
          <w:rFonts w:hint="default" w:ascii="仿宋" w:hAnsi="仿宋" w:eastAsia="仿宋" w:cs="仿宋"/>
          <w:sz w:val="32"/>
          <w:szCs w:val="32"/>
          <w:lang w:val="en-US"/>
        </w:rPr>
      </w:pPr>
      <w:r>
        <w:rPr>
          <w:rFonts w:hint="eastAsia" w:ascii="仿宋" w:hAnsi="仿宋" w:eastAsia="仿宋" w:cs="仿宋"/>
          <w:sz w:val="32"/>
          <w:szCs w:val="32"/>
          <w:lang w:eastAsia="zh-CN"/>
        </w:rPr>
        <w:t>单位年末在职人数</w:t>
      </w:r>
      <w:r>
        <w:rPr>
          <w:rFonts w:hint="eastAsia" w:ascii="仿宋" w:hAnsi="仿宋" w:eastAsia="仿宋" w:cs="仿宋"/>
          <w:sz w:val="32"/>
          <w:szCs w:val="32"/>
          <w:lang w:val="en-US" w:eastAsia="zh-CN"/>
        </w:rPr>
        <w:t>7人，年末资产原值72.17万元，累计折旧41.24万元，期末净值30.93万元。</w:t>
      </w:r>
    </w:p>
    <w:p>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部门履职总体目标。</w:t>
      </w:r>
    </w:p>
    <w:p>
      <w:pPr>
        <w:keepNext w:val="0"/>
        <w:keepLines w:val="0"/>
        <w:pageBreakBefore w:val="0"/>
        <w:widowControl/>
        <w:kinsoku/>
        <w:wordWrap/>
        <w:overflowPunct/>
        <w:topLinePunct w:val="0"/>
        <w:autoSpaceDE/>
        <w:autoSpaceDN/>
        <w:bidi w:val="0"/>
        <w:adjustRightInd/>
        <w:snapToGrid/>
        <w:spacing w:line="360" w:lineRule="auto"/>
        <w:ind w:lef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切实提高残联综合事务管理水平，保障单位的正常运行，发挥好残联的各项职能，做好残疾人的“娘家人” ， 维护残疾人的和谐稳定。    </w:t>
      </w:r>
    </w:p>
    <w:p>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年度整体绩效目标和工作任务。</w:t>
      </w:r>
    </w:p>
    <w:p>
      <w:pPr>
        <w:keepNext w:val="0"/>
        <w:keepLines w:val="0"/>
        <w:pageBreakBefore w:val="0"/>
        <w:widowControl/>
        <w:kinsoku/>
        <w:wordWrap/>
        <w:overflowPunct/>
        <w:topLinePunct w:val="0"/>
        <w:autoSpaceDE/>
        <w:autoSpaceDN/>
        <w:bidi w:val="0"/>
        <w:adjustRightInd/>
        <w:snapToGrid/>
        <w:spacing w:line="360" w:lineRule="auto"/>
        <w:ind w:left="0" w:leftChars="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结合本单位实际情况，按月发放职工工资和社会保障费，支付正常运转及业务费用；开展职工活动；完成上级残联下达的任务，做好残联自身的改革和建设，充分发挥残联的职能，保障单位的正常运转。协助县委、县政府做好帮扶工作；努力为广大残联人办实事、解难题，对在档管理的困难残疾人开展帮扶救助，维护残疾人服务队伍的和谐稳定。</w:t>
      </w:r>
    </w:p>
    <w:p>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预算资金安排及资金支出情况。</w:t>
      </w:r>
    </w:p>
    <w:p>
      <w:pPr>
        <w:widowControl/>
        <w:spacing w:line="315" w:lineRule="atLeast"/>
        <w:ind w:firstLine="640" w:firstLineChars="200"/>
        <w:rPr>
          <w:rFonts w:hint="eastAsia" w:ascii="仿宋" w:hAnsi="仿宋" w:eastAsia="仿宋" w:cs="仿宋"/>
          <w:color w:val="000000"/>
          <w:kern w:val="0"/>
          <w:sz w:val="32"/>
          <w:szCs w:val="32"/>
        </w:rPr>
      </w:pPr>
      <w:r>
        <w:rPr>
          <w:rFonts w:hint="eastAsia" w:ascii="仿宋" w:hAnsi="仿宋" w:eastAsia="仿宋" w:cs="仿宋"/>
          <w:sz w:val="32"/>
          <w:szCs w:val="32"/>
        </w:rPr>
        <w:t>我单位20</w:t>
      </w:r>
      <w:r>
        <w:rPr>
          <w:rFonts w:hint="eastAsia" w:ascii="仿宋" w:hAnsi="仿宋" w:eastAsia="仿宋" w:cs="仿宋"/>
          <w:sz w:val="32"/>
          <w:szCs w:val="32"/>
          <w:lang w:val="en-US" w:eastAsia="zh-CN"/>
        </w:rPr>
        <w:t>21</w:t>
      </w:r>
      <w:r>
        <w:rPr>
          <w:rFonts w:hint="eastAsia" w:ascii="仿宋" w:hAnsi="仿宋" w:eastAsia="仿宋" w:cs="仿宋"/>
          <w:sz w:val="32"/>
          <w:szCs w:val="32"/>
        </w:rPr>
        <w:t>年</w:t>
      </w:r>
      <w:r>
        <w:rPr>
          <w:rFonts w:hint="eastAsia" w:ascii="仿宋" w:hAnsi="仿宋" w:eastAsia="仿宋" w:cs="仿宋"/>
          <w:color w:val="000000"/>
          <w:kern w:val="0"/>
          <w:sz w:val="32"/>
          <w:szCs w:val="32"/>
        </w:rPr>
        <w:t>本年度财政拨款</w:t>
      </w:r>
      <w:r>
        <w:rPr>
          <w:rFonts w:hint="eastAsia" w:ascii="仿宋" w:hAnsi="仿宋" w:eastAsia="仿宋" w:cs="仿宋"/>
          <w:color w:val="000000"/>
          <w:kern w:val="0"/>
          <w:sz w:val="32"/>
          <w:szCs w:val="32"/>
          <w:lang w:eastAsia="zh-CN"/>
        </w:rPr>
        <w:t>收入</w:t>
      </w:r>
      <w:r>
        <w:rPr>
          <w:rFonts w:hint="eastAsia" w:ascii="仿宋" w:hAnsi="仿宋" w:eastAsia="仿宋" w:cs="仿宋"/>
          <w:color w:val="000000"/>
          <w:kern w:val="0"/>
          <w:sz w:val="32"/>
          <w:szCs w:val="32"/>
          <w:lang w:val="en-US" w:eastAsia="zh-CN"/>
        </w:rPr>
        <w:t>301.54万</w:t>
      </w:r>
      <w:r>
        <w:rPr>
          <w:rFonts w:hint="eastAsia" w:ascii="仿宋" w:hAnsi="仿宋" w:eastAsia="仿宋" w:cs="仿宋"/>
          <w:color w:val="000000"/>
          <w:kern w:val="0"/>
          <w:sz w:val="32"/>
          <w:szCs w:val="32"/>
        </w:rPr>
        <w:t>元，</w:t>
      </w:r>
      <w:r>
        <w:rPr>
          <w:rFonts w:hint="eastAsia" w:ascii="仿宋" w:hAnsi="仿宋" w:eastAsia="仿宋" w:cs="仿宋"/>
          <w:color w:val="000000"/>
          <w:kern w:val="0"/>
          <w:sz w:val="32"/>
          <w:szCs w:val="32"/>
          <w:lang w:eastAsia="zh-CN"/>
        </w:rPr>
        <w:t>上年结转和结余</w:t>
      </w:r>
      <w:r>
        <w:rPr>
          <w:rFonts w:hint="eastAsia" w:ascii="仿宋" w:hAnsi="仿宋" w:eastAsia="仿宋" w:cs="仿宋"/>
          <w:color w:val="000000"/>
          <w:kern w:val="0"/>
          <w:sz w:val="32"/>
          <w:szCs w:val="32"/>
          <w:lang w:val="en-US" w:eastAsia="zh-CN"/>
        </w:rPr>
        <w:t>3.4444万元，</w:t>
      </w:r>
      <w:r>
        <w:rPr>
          <w:rFonts w:hint="eastAsia" w:ascii="仿宋" w:hAnsi="仿宋" w:eastAsia="仿宋" w:cs="仿宋"/>
          <w:color w:val="000000"/>
          <w:kern w:val="0"/>
          <w:sz w:val="32"/>
          <w:szCs w:val="32"/>
        </w:rPr>
        <w:t>财政拨款</w:t>
      </w:r>
      <w:r>
        <w:rPr>
          <w:rFonts w:hint="eastAsia" w:ascii="仿宋" w:hAnsi="仿宋" w:eastAsia="仿宋" w:cs="仿宋"/>
          <w:color w:val="000000"/>
          <w:kern w:val="0"/>
          <w:sz w:val="32"/>
          <w:szCs w:val="32"/>
          <w:lang w:eastAsia="zh-CN"/>
        </w:rPr>
        <w:t>支出</w:t>
      </w:r>
      <w:r>
        <w:rPr>
          <w:rFonts w:hint="eastAsia" w:ascii="仿宋" w:hAnsi="仿宋" w:eastAsia="仿宋" w:cs="仿宋"/>
          <w:color w:val="000000"/>
          <w:kern w:val="0"/>
          <w:sz w:val="32"/>
          <w:szCs w:val="32"/>
          <w:lang w:val="en-US" w:eastAsia="zh-CN"/>
        </w:rPr>
        <w:t>304.9907万</w:t>
      </w:r>
      <w:r>
        <w:rPr>
          <w:rFonts w:hint="eastAsia" w:ascii="仿宋" w:hAnsi="仿宋" w:eastAsia="仿宋" w:cs="仿宋"/>
          <w:color w:val="000000"/>
          <w:kern w:val="0"/>
          <w:sz w:val="32"/>
          <w:szCs w:val="32"/>
        </w:rPr>
        <w:t>元，</w:t>
      </w:r>
      <w:r>
        <w:rPr>
          <w:rFonts w:hint="eastAsia" w:ascii="仿宋" w:hAnsi="仿宋" w:eastAsia="仿宋" w:cs="仿宋"/>
          <w:color w:val="000000"/>
          <w:kern w:val="0"/>
          <w:sz w:val="32"/>
          <w:szCs w:val="32"/>
          <w:lang w:eastAsia="zh-CN"/>
        </w:rPr>
        <w:t>基本支出</w:t>
      </w:r>
      <w:r>
        <w:rPr>
          <w:rFonts w:hint="eastAsia" w:ascii="仿宋" w:hAnsi="仿宋" w:eastAsia="仿宋" w:cs="仿宋"/>
          <w:color w:val="000000"/>
          <w:kern w:val="0"/>
          <w:sz w:val="32"/>
          <w:szCs w:val="32"/>
          <w:lang w:val="en-US" w:eastAsia="zh-CN"/>
        </w:rPr>
        <w:t>68.7075万元，项目支出236.2832万元</w:t>
      </w:r>
      <w:r>
        <w:rPr>
          <w:rFonts w:hint="eastAsia" w:ascii="仿宋" w:hAnsi="仿宋" w:eastAsia="仿宋" w:cs="仿宋"/>
          <w:color w:val="000000"/>
          <w:kern w:val="0"/>
          <w:sz w:val="32"/>
          <w:szCs w:val="32"/>
        </w:rPr>
        <w:t>。</w:t>
      </w:r>
    </w:p>
    <w:p>
      <w:pPr>
        <w:keepNext w:val="0"/>
        <w:keepLines w:val="0"/>
        <w:pageBreakBefore w:val="0"/>
        <w:widowControl w:val="0"/>
        <w:kinsoku/>
        <w:wordWrap/>
        <w:overflowPunct/>
        <w:topLinePunct w:val="0"/>
        <w:autoSpaceDE/>
        <w:autoSpaceDN/>
        <w:bidi w:val="0"/>
        <w:adjustRightInd/>
        <w:snapToGrid/>
        <w:spacing w:line="360" w:lineRule="auto"/>
        <w:ind w:lef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rPr>
        <w:t>基本支出</w:t>
      </w:r>
      <w:r>
        <w:rPr>
          <w:rFonts w:hint="eastAsia" w:ascii="仿宋" w:hAnsi="仿宋" w:eastAsia="仿宋" w:cs="仿宋"/>
          <w:sz w:val="32"/>
          <w:szCs w:val="32"/>
          <w:lang w:val="en-US" w:eastAsia="zh-CN"/>
        </w:rPr>
        <w:t>68.7075</w:t>
      </w:r>
      <w:r>
        <w:rPr>
          <w:rFonts w:hint="eastAsia" w:ascii="仿宋" w:hAnsi="仿宋" w:eastAsia="仿宋" w:cs="仿宋"/>
          <w:sz w:val="32"/>
          <w:szCs w:val="32"/>
        </w:rPr>
        <w:t>万元，其中：工资福利支出</w:t>
      </w:r>
      <w:r>
        <w:rPr>
          <w:rFonts w:hint="eastAsia" w:ascii="仿宋" w:hAnsi="仿宋" w:eastAsia="仿宋" w:cs="仿宋"/>
          <w:sz w:val="32"/>
          <w:szCs w:val="32"/>
          <w:lang w:val="en-US" w:eastAsia="zh-CN"/>
        </w:rPr>
        <w:t>58.8185</w:t>
      </w:r>
      <w:r>
        <w:rPr>
          <w:rFonts w:hint="eastAsia" w:ascii="仿宋" w:hAnsi="仿宋" w:eastAsia="仿宋" w:cs="仿宋"/>
          <w:sz w:val="32"/>
          <w:szCs w:val="32"/>
        </w:rPr>
        <w:t>万元、商品和服务支出</w:t>
      </w:r>
      <w:r>
        <w:rPr>
          <w:rFonts w:hint="eastAsia" w:ascii="仿宋" w:hAnsi="仿宋" w:eastAsia="仿宋" w:cs="仿宋"/>
          <w:sz w:val="32"/>
          <w:szCs w:val="32"/>
          <w:lang w:val="en-US" w:eastAsia="zh-CN"/>
        </w:rPr>
        <w:t>8.26</w:t>
      </w:r>
      <w:r>
        <w:rPr>
          <w:rFonts w:hint="eastAsia" w:ascii="仿宋" w:hAnsi="仿宋" w:eastAsia="仿宋" w:cs="仿宋"/>
          <w:sz w:val="32"/>
          <w:szCs w:val="32"/>
        </w:rPr>
        <w:t>万元、对个人和家庭的补助</w:t>
      </w:r>
      <w:r>
        <w:rPr>
          <w:rFonts w:hint="eastAsia" w:ascii="仿宋" w:hAnsi="仿宋" w:eastAsia="仿宋" w:cs="仿宋"/>
          <w:sz w:val="32"/>
          <w:szCs w:val="32"/>
          <w:lang w:val="en-US" w:eastAsia="zh-CN"/>
        </w:rPr>
        <w:t>1.629</w:t>
      </w:r>
      <w:r>
        <w:rPr>
          <w:rFonts w:hint="eastAsia" w:ascii="仿宋" w:hAnsi="仿宋" w:eastAsia="仿宋" w:cs="仿宋"/>
          <w:sz w:val="32"/>
          <w:szCs w:val="32"/>
        </w:rPr>
        <w:t>万元、其他资本性支出0.00万元。</w:t>
      </w:r>
    </w:p>
    <w:p>
      <w:pPr>
        <w:keepNext w:val="0"/>
        <w:keepLines w:val="0"/>
        <w:pageBreakBefore w:val="0"/>
        <w:widowControl w:val="0"/>
        <w:kinsoku/>
        <w:wordWrap/>
        <w:overflowPunct/>
        <w:topLinePunct w:val="0"/>
        <w:autoSpaceDE/>
        <w:autoSpaceDN/>
        <w:bidi w:val="0"/>
        <w:adjustRightInd/>
        <w:snapToGrid/>
        <w:spacing w:line="360" w:lineRule="auto"/>
        <w:ind w:lef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rPr>
        <w:t>项目支出</w:t>
      </w:r>
      <w:r>
        <w:rPr>
          <w:rFonts w:hint="eastAsia" w:ascii="仿宋" w:hAnsi="仿宋" w:eastAsia="仿宋" w:cs="仿宋"/>
          <w:sz w:val="32"/>
          <w:szCs w:val="32"/>
          <w:lang w:val="en-US" w:eastAsia="zh-CN"/>
        </w:rPr>
        <w:t>236.2832</w:t>
      </w:r>
      <w:r>
        <w:rPr>
          <w:rFonts w:hint="eastAsia" w:ascii="仿宋" w:hAnsi="仿宋" w:eastAsia="仿宋" w:cs="仿宋"/>
          <w:sz w:val="32"/>
          <w:szCs w:val="32"/>
        </w:rPr>
        <w:t>万元。</w:t>
      </w:r>
      <w:r>
        <w:rPr>
          <w:rFonts w:hint="eastAsia" w:ascii="仿宋" w:hAnsi="仿宋" w:eastAsia="仿宋" w:cs="仿宋"/>
          <w:sz w:val="32"/>
          <w:szCs w:val="32"/>
          <w:lang w:eastAsia="zh-CN"/>
        </w:rPr>
        <w:t>残疾人康复支出</w:t>
      </w:r>
      <w:r>
        <w:rPr>
          <w:rFonts w:hint="eastAsia" w:ascii="仿宋" w:hAnsi="仿宋" w:eastAsia="仿宋" w:cs="仿宋"/>
          <w:sz w:val="32"/>
          <w:szCs w:val="32"/>
          <w:lang w:val="en-US" w:eastAsia="zh-CN"/>
        </w:rPr>
        <w:t>122.83万元，残疾人就业和扶贫支出83.73万元，其他残疾人事业支出29.7232万元。</w:t>
      </w:r>
    </w:p>
    <w:p>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预算绩效管理开展及整体绩效实现情况。</w:t>
      </w:r>
    </w:p>
    <w:p>
      <w:pPr>
        <w:numPr>
          <w:ilvl w:val="0"/>
          <w:numId w:val="3"/>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部门开展预算绩效管理情况。</w:t>
      </w:r>
    </w:p>
    <w:p>
      <w:pPr>
        <w:pStyle w:val="7"/>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根据本单位年初工作规划和重点工作，围绕</w:t>
      </w:r>
      <w:r>
        <w:rPr>
          <w:rFonts w:hint="eastAsia" w:ascii="仿宋" w:hAnsi="仿宋" w:eastAsia="仿宋" w:cs="仿宋"/>
          <w:sz w:val="32"/>
          <w:szCs w:val="32"/>
          <w:lang w:eastAsia="zh-CN"/>
        </w:rPr>
        <w:t>县</w:t>
      </w:r>
      <w:r>
        <w:rPr>
          <w:rFonts w:hint="eastAsia" w:ascii="仿宋" w:hAnsi="仿宋" w:eastAsia="仿宋" w:cs="仿宋"/>
          <w:sz w:val="32"/>
          <w:szCs w:val="32"/>
        </w:rPr>
        <w:t>委、</w:t>
      </w:r>
      <w:r>
        <w:rPr>
          <w:rFonts w:hint="eastAsia" w:ascii="仿宋" w:hAnsi="仿宋" w:eastAsia="仿宋" w:cs="仿宋"/>
          <w:sz w:val="32"/>
          <w:szCs w:val="32"/>
          <w:lang w:eastAsia="zh-CN"/>
        </w:rPr>
        <w:t>县</w:t>
      </w:r>
      <w:r>
        <w:rPr>
          <w:rFonts w:hint="eastAsia" w:ascii="仿宋" w:hAnsi="仿宋" w:eastAsia="仿宋" w:cs="仿宋"/>
          <w:sz w:val="32"/>
          <w:szCs w:val="32"/>
        </w:rPr>
        <w:t>政府以及</w:t>
      </w:r>
      <w:r>
        <w:rPr>
          <w:rFonts w:hint="eastAsia" w:ascii="仿宋" w:hAnsi="仿宋" w:eastAsia="仿宋" w:cs="仿宋"/>
          <w:sz w:val="32"/>
          <w:szCs w:val="32"/>
          <w:lang w:eastAsia="zh-CN"/>
        </w:rPr>
        <w:t>市残联</w:t>
      </w:r>
      <w:r>
        <w:rPr>
          <w:rFonts w:hint="eastAsia" w:ascii="仿宋" w:hAnsi="仿宋" w:eastAsia="仿宋" w:cs="仿宋"/>
          <w:sz w:val="32"/>
          <w:szCs w:val="32"/>
        </w:rPr>
        <w:t>的工作部署，积极履行职责，强化管理，较好地完成了年度工作目标，同时加强预算收支的管理，建立健全内部管理制度，严格内部管理流程，单位整体支出管理得到了提升</w:t>
      </w:r>
      <w:r>
        <w:rPr>
          <w:rFonts w:hint="eastAsia" w:ascii="仿宋" w:hAnsi="仿宋" w:eastAsia="仿宋" w:cs="仿宋"/>
          <w:sz w:val="32"/>
          <w:szCs w:val="32"/>
          <w:lang w:eastAsia="zh-CN"/>
        </w:rPr>
        <w:t>。</w:t>
      </w:r>
      <w:r>
        <w:rPr>
          <w:rFonts w:hint="eastAsia" w:ascii="仿宋" w:hAnsi="仿宋" w:eastAsia="仿宋" w:cs="仿宋"/>
          <w:sz w:val="32"/>
          <w:szCs w:val="32"/>
          <w:shd w:val="clear" w:fill="FFFFFF"/>
        </w:rPr>
        <w:t>通过对20</w:t>
      </w:r>
      <w:r>
        <w:rPr>
          <w:rFonts w:hint="eastAsia" w:ascii="仿宋" w:hAnsi="仿宋" w:eastAsia="仿宋" w:cs="仿宋"/>
          <w:sz w:val="32"/>
          <w:szCs w:val="32"/>
          <w:shd w:val="clear" w:fill="FFFFFF"/>
          <w:lang w:val="en-US" w:eastAsia="zh-CN"/>
        </w:rPr>
        <w:t>21</w:t>
      </w:r>
      <w:r>
        <w:rPr>
          <w:rFonts w:hint="eastAsia" w:ascii="仿宋" w:hAnsi="仿宋" w:eastAsia="仿宋" w:cs="仿宋"/>
          <w:sz w:val="32"/>
          <w:szCs w:val="32"/>
          <w:shd w:val="clear" w:fill="FFFFFF"/>
        </w:rPr>
        <w:t>年部门整体支出绩效自评的结果分析如下：</w:t>
      </w:r>
    </w:p>
    <w:p>
      <w:pPr>
        <w:pStyle w:val="7"/>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shd w:val="clear" w:fill="FFFFFF"/>
          <w:lang w:val="en-US" w:eastAsia="zh-CN"/>
        </w:rPr>
        <w:t>1</w:t>
      </w:r>
      <w:r>
        <w:rPr>
          <w:rFonts w:hint="eastAsia" w:ascii="仿宋" w:hAnsi="仿宋" w:eastAsia="仿宋" w:cs="仿宋"/>
          <w:sz w:val="32"/>
          <w:szCs w:val="32"/>
          <w:shd w:val="clear" w:fill="FFFFFF"/>
        </w:rPr>
        <w:t>、管理制度健全性：本单位根据&lt;中华人民共和国会计法&gt;、&lt;会计基础工作规范&gt;</w:t>
      </w:r>
      <w:r>
        <w:rPr>
          <w:rFonts w:hint="eastAsia" w:ascii="仿宋" w:hAnsi="仿宋" w:eastAsia="仿宋" w:cs="仿宋"/>
          <w:sz w:val="32"/>
          <w:szCs w:val="32"/>
          <w:shd w:val="clear" w:fill="FFFFFF"/>
          <w:lang w:eastAsia="zh-CN"/>
        </w:rPr>
        <w:t>及</w:t>
      </w:r>
      <w:r>
        <w:rPr>
          <w:rFonts w:hint="eastAsia" w:ascii="仿宋" w:hAnsi="仿宋" w:eastAsia="仿宋" w:cs="仿宋"/>
          <w:sz w:val="32"/>
          <w:szCs w:val="32"/>
          <w:shd w:val="clear" w:fill="FFFFFF"/>
        </w:rPr>
        <w:t>《</w:t>
      </w:r>
      <w:r>
        <w:rPr>
          <w:rFonts w:hint="eastAsia" w:ascii="仿宋" w:hAnsi="仿宋" w:eastAsia="仿宋" w:cs="仿宋"/>
          <w:sz w:val="32"/>
          <w:szCs w:val="32"/>
          <w:shd w:val="clear" w:fill="FFFFFF"/>
          <w:lang w:eastAsia="zh-CN"/>
        </w:rPr>
        <w:t>工会会计制度</w:t>
      </w:r>
      <w:r>
        <w:rPr>
          <w:rFonts w:hint="eastAsia" w:ascii="仿宋" w:hAnsi="仿宋" w:eastAsia="仿宋" w:cs="仿宋"/>
          <w:sz w:val="32"/>
          <w:szCs w:val="32"/>
          <w:shd w:val="clear" w:fill="FFFFFF"/>
        </w:rPr>
        <w:t>》结合本单位的实际情况制定了相关的财务管理制度。</w:t>
      </w:r>
    </w:p>
    <w:p>
      <w:pPr>
        <w:pStyle w:val="7"/>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shd w:val="clear" w:fill="FFFFFF"/>
          <w:lang w:val="en-US" w:eastAsia="zh-CN"/>
        </w:rPr>
        <w:t>2</w:t>
      </w:r>
      <w:r>
        <w:rPr>
          <w:rFonts w:hint="eastAsia" w:ascii="仿宋" w:hAnsi="仿宋" w:eastAsia="仿宋" w:cs="仿宋"/>
          <w:sz w:val="32"/>
          <w:szCs w:val="32"/>
          <w:shd w:val="clear" w:fill="FFFFFF"/>
        </w:rPr>
        <w:t>、资金使用合规性：本单位在资金使用上一直按照国家财经法规和本单位财务管理制度规定以及有关资金管理办法的规定收支，资金拨付有完整的审批程序和手续</w:t>
      </w:r>
      <w:r>
        <w:rPr>
          <w:rFonts w:hint="eastAsia" w:ascii="仿宋" w:hAnsi="仿宋" w:eastAsia="仿宋" w:cs="仿宋"/>
          <w:color w:val="555555"/>
          <w:sz w:val="32"/>
          <w:szCs w:val="32"/>
          <w:shd w:val="clear" w:fill="FFFFFF"/>
        </w:rPr>
        <w:t>，</w:t>
      </w:r>
      <w:r>
        <w:rPr>
          <w:rFonts w:hint="eastAsia" w:ascii="仿宋" w:hAnsi="仿宋" w:eastAsia="仿宋" w:cs="仿宋"/>
          <w:sz w:val="32"/>
          <w:szCs w:val="32"/>
          <w:shd w:val="clear" w:fill="FFFFFF"/>
        </w:rPr>
        <w:t>单位财务</w:t>
      </w:r>
      <w:r>
        <w:rPr>
          <w:rFonts w:hint="eastAsia" w:ascii="仿宋" w:hAnsi="仿宋" w:eastAsia="仿宋" w:cs="仿宋"/>
          <w:sz w:val="32"/>
          <w:szCs w:val="32"/>
          <w:shd w:val="clear" w:fill="FFFFFF"/>
          <w:lang w:eastAsia="zh-CN"/>
        </w:rPr>
        <w:t>部长</w:t>
      </w:r>
      <w:r>
        <w:rPr>
          <w:rFonts w:hint="eastAsia" w:ascii="仿宋" w:hAnsi="仿宋" w:eastAsia="仿宋" w:cs="仿宋"/>
          <w:sz w:val="32"/>
          <w:szCs w:val="32"/>
          <w:shd w:val="clear" w:fill="FFFFFF"/>
        </w:rPr>
        <w:t>和分管财务领导对资金的使用进行全程监督</w:t>
      </w:r>
      <w:r>
        <w:rPr>
          <w:rFonts w:hint="eastAsia" w:ascii="仿宋" w:hAnsi="仿宋" w:eastAsia="仿宋" w:cs="仿宋"/>
          <w:color w:val="555555"/>
          <w:sz w:val="32"/>
          <w:szCs w:val="32"/>
          <w:shd w:val="clear" w:fill="FFFFFF"/>
        </w:rPr>
        <w:t>，</w:t>
      </w:r>
      <w:r>
        <w:rPr>
          <w:rFonts w:hint="eastAsia" w:ascii="仿宋" w:hAnsi="仿宋" w:eastAsia="仿宋" w:cs="仿宋"/>
          <w:sz w:val="32"/>
          <w:szCs w:val="32"/>
          <w:shd w:val="clear" w:fill="FFFFFF"/>
        </w:rPr>
        <w:t>按照财经制度的有关要求，保证资金使用的合规性。</w:t>
      </w:r>
    </w:p>
    <w:p>
      <w:pPr>
        <w:pStyle w:val="7"/>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default" w:ascii="仿宋" w:hAnsi="仿宋" w:eastAsia="仿宋" w:cs="仿宋"/>
          <w:sz w:val="32"/>
          <w:szCs w:val="32"/>
          <w:lang w:val="en-US" w:eastAsia="zh-CN"/>
        </w:rPr>
      </w:pPr>
      <w:r>
        <w:rPr>
          <w:rFonts w:hint="eastAsia" w:ascii="仿宋" w:hAnsi="仿宋" w:eastAsia="仿宋" w:cs="仿宋"/>
          <w:sz w:val="32"/>
          <w:szCs w:val="32"/>
          <w:shd w:val="clear" w:fill="FFFFFF"/>
          <w:lang w:val="en-US" w:eastAsia="zh-CN"/>
        </w:rPr>
        <w:t>3</w:t>
      </w:r>
      <w:r>
        <w:rPr>
          <w:rFonts w:hint="eastAsia" w:ascii="仿宋" w:hAnsi="仿宋" w:eastAsia="仿宋" w:cs="仿宋"/>
          <w:sz w:val="32"/>
          <w:szCs w:val="32"/>
          <w:shd w:val="clear" w:fill="FFFFFF"/>
        </w:rPr>
        <w:t>.预决算信息公开性：本单位20</w:t>
      </w:r>
      <w:r>
        <w:rPr>
          <w:rFonts w:hint="eastAsia" w:ascii="仿宋" w:hAnsi="仿宋" w:eastAsia="仿宋" w:cs="仿宋"/>
          <w:sz w:val="32"/>
          <w:szCs w:val="32"/>
          <w:shd w:val="clear" w:fill="FFFFFF"/>
          <w:lang w:val="en-US" w:eastAsia="zh-CN"/>
        </w:rPr>
        <w:t>21</w:t>
      </w:r>
      <w:r>
        <w:rPr>
          <w:rFonts w:hint="eastAsia" w:ascii="仿宋" w:hAnsi="仿宋" w:eastAsia="仿宋" w:cs="仿宋"/>
          <w:sz w:val="32"/>
          <w:szCs w:val="32"/>
          <w:shd w:val="clear" w:fill="FFFFFF"/>
        </w:rPr>
        <w:t>年度的预决算数据已经按照</w:t>
      </w:r>
      <w:r>
        <w:rPr>
          <w:rFonts w:hint="eastAsia" w:ascii="仿宋" w:hAnsi="仿宋" w:eastAsia="仿宋" w:cs="仿宋"/>
          <w:sz w:val="32"/>
          <w:szCs w:val="32"/>
          <w:shd w:val="clear" w:fill="FFFFFF"/>
          <w:lang w:eastAsia="zh-CN"/>
        </w:rPr>
        <w:t>县</w:t>
      </w:r>
      <w:r>
        <w:rPr>
          <w:rFonts w:hint="eastAsia" w:ascii="仿宋" w:hAnsi="仿宋" w:eastAsia="仿宋" w:cs="仿宋"/>
          <w:sz w:val="32"/>
          <w:szCs w:val="32"/>
          <w:shd w:val="clear" w:fill="FFFFFF"/>
        </w:rPr>
        <w:t>财政局的相关要求及时报送</w:t>
      </w:r>
      <w:r>
        <w:rPr>
          <w:rFonts w:hint="eastAsia" w:ascii="仿宋" w:hAnsi="仿宋" w:eastAsia="仿宋" w:cs="仿宋"/>
          <w:sz w:val="32"/>
          <w:szCs w:val="32"/>
          <w:shd w:val="clear" w:fill="FFFFFF"/>
          <w:lang w:eastAsia="zh-CN"/>
        </w:rPr>
        <w:t>县</w:t>
      </w:r>
      <w:r>
        <w:rPr>
          <w:rFonts w:hint="eastAsia" w:ascii="仿宋" w:hAnsi="仿宋" w:eastAsia="仿宋" w:cs="仿宋"/>
          <w:sz w:val="32"/>
          <w:szCs w:val="32"/>
          <w:shd w:val="clear" w:fill="FFFFFF"/>
        </w:rPr>
        <w:t>财政局有关部门，并在单位全体人员会议上公开。</w:t>
      </w:r>
    </w:p>
    <w:p>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（二）工作履行活动完成情况。</w:t>
      </w:r>
    </w:p>
    <w:p>
      <w:pPr>
        <w:pStyle w:val="7"/>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本部门绩效评价工作活动由残联理事长王江华同志任组长，刘会霞、王文欣为成员，</w:t>
      </w:r>
      <w:r>
        <w:rPr>
          <w:rFonts w:hint="eastAsia" w:ascii="仿宋" w:hAnsi="仿宋" w:eastAsia="仿宋" w:cs="Times New Roman"/>
          <w:color w:val="000000"/>
          <w:sz w:val="32"/>
          <w:szCs w:val="32"/>
          <w:lang w:val="en-US" w:eastAsia="zh-CN"/>
        </w:rPr>
        <w:t>项目绩效目标均已完成。</w:t>
      </w:r>
    </w:p>
    <w:p>
      <w:pPr>
        <w:adjustRightInd w:val="0"/>
        <w:ind w:firstLine="480" w:firstLineChars="150"/>
        <w:rPr>
          <w:rFonts w:hint="eastAsia" w:ascii="仿宋" w:hAnsi="仿宋" w:eastAsia="仿宋" w:cs="仿宋"/>
          <w:sz w:val="32"/>
          <w:szCs w:val="32"/>
        </w:rPr>
      </w:pPr>
    </w:p>
    <w:p>
      <w:pPr>
        <w:numPr>
          <w:ilvl w:val="0"/>
          <w:numId w:val="3"/>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实施履职活动产生的效果或服务对象满意程度。</w:t>
      </w:r>
    </w:p>
    <w:p>
      <w:pPr>
        <w:snapToGrid/>
        <w:spacing w:line="240" w:lineRule="auto"/>
        <w:ind w:firstLine="640" w:firstLineChars="200"/>
        <w:rPr>
          <w:rFonts w:hint="eastAsia" w:ascii="仿宋" w:hAnsi="仿宋" w:eastAsia="仿宋" w:cs="仿宋"/>
          <w:sz w:val="32"/>
          <w:szCs w:val="32"/>
        </w:rPr>
      </w:pPr>
      <w:r>
        <w:rPr>
          <w:rFonts w:ascii="仿宋" w:hAnsi="仿宋" w:eastAsia="仿宋" w:cs="仿宋"/>
          <w:sz w:val="32"/>
          <w:szCs w:val="32"/>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年度</w:t>
      </w:r>
      <w:r>
        <w:rPr>
          <w:rFonts w:hint="eastAsia" w:ascii="仿宋" w:hAnsi="仿宋" w:eastAsia="仿宋" w:cs="仿宋"/>
          <w:sz w:val="32"/>
          <w:szCs w:val="32"/>
          <w:lang w:eastAsia="zh-CN"/>
        </w:rPr>
        <w:t>县级项目活动</w:t>
      </w:r>
      <w:r>
        <w:rPr>
          <w:rFonts w:hint="eastAsia" w:ascii="仿宋" w:hAnsi="仿宋" w:eastAsia="仿宋" w:cs="仿宋"/>
          <w:sz w:val="32"/>
          <w:szCs w:val="32"/>
        </w:rPr>
        <w:t>已全部完成，完成率</w:t>
      </w:r>
      <w:r>
        <w:rPr>
          <w:rFonts w:ascii="仿宋" w:hAnsi="仿宋" w:eastAsia="仿宋" w:cs="仿宋"/>
          <w:sz w:val="32"/>
          <w:szCs w:val="32"/>
        </w:rPr>
        <w:t>100%</w:t>
      </w:r>
      <w:r>
        <w:rPr>
          <w:rFonts w:hint="eastAsia" w:ascii="仿宋" w:hAnsi="仿宋" w:eastAsia="仿宋" w:cs="仿宋"/>
          <w:sz w:val="32"/>
          <w:szCs w:val="32"/>
        </w:rPr>
        <w:t>，残联各项项目</w:t>
      </w:r>
      <w:r>
        <w:rPr>
          <w:rFonts w:hint="eastAsia" w:ascii="仿宋" w:hAnsi="仿宋" w:eastAsia="仿宋" w:cs="宋体"/>
          <w:kern w:val="0"/>
          <w:sz w:val="32"/>
          <w:szCs w:val="32"/>
          <w:shd w:val="clear" w:color="auto" w:fill="FFFFFF"/>
        </w:rPr>
        <w:t>资金全部用于残疾人事业发展服务</w:t>
      </w:r>
      <w:r>
        <w:rPr>
          <w:rFonts w:hint="eastAsia" w:ascii="仿宋" w:hAnsi="仿宋" w:eastAsia="仿宋" w:cs="仿宋"/>
          <w:sz w:val="32"/>
          <w:szCs w:val="32"/>
        </w:rPr>
        <w:t>，资金使用合理规规，得到群众认可</w:t>
      </w:r>
      <w:r>
        <w:rPr>
          <w:rFonts w:hint="eastAsia" w:ascii="仿宋" w:hAnsi="仿宋" w:eastAsia="仿宋" w:cs="宋体"/>
          <w:kern w:val="0"/>
          <w:sz w:val="32"/>
          <w:szCs w:val="32"/>
          <w:shd w:val="clear" w:color="auto" w:fill="FFFFFF"/>
        </w:rPr>
        <w:t>并取得了很好的社会反响</w:t>
      </w:r>
      <w:r>
        <w:rPr>
          <w:rFonts w:hint="eastAsia" w:ascii="仿宋" w:hAnsi="仿宋" w:eastAsia="仿宋" w:cs="仿宋"/>
          <w:sz w:val="32"/>
          <w:szCs w:val="32"/>
        </w:rPr>
        <w:t>。</w:t>
      </w:r>
    </w:p>
    <w:p>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绩效评价的组织实施情况</w:t>
      </w:r>
    </w:p>
    <w:p>
      <w:pPr>
        <w:numPr>
          <w:ilvl w:val="0"/>
          <w:numId w:val="4"/>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评价对象绩效目标。</w:t>
      </w:r>
    </w:p>
    <w:p>
      <w:pPr>
        <w:numPr>
          <w:numId w:val="0"/>
        </w:numPr>
        <w:adjustRightInd w:val="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目标1：通过对残疾人学生和残疾人家庭子女学生实施资助，保障他们顺利入学；目标2：完成农村实用技术培训年度工作，帮助农村贫困残疾人提高生产增收技能，提高残疾人教育水平。</w:t>
      </w:r>
    </w:p>
    <w:p>
      <w:pPr>
        <w:numPr>
          <w:numId w:val="0"/>
        </w:numPr>
        <w:adjustRightInd w:val="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目标3：通过“阳光家园计划”项目年度工作的实施，帮助残疾人得到托养照料；目标4：通过开展残疾人人身意外伤害保险项目，切实保障残疾人民生，提高受助残疾人的社会参与能力。</w:t>
      </w:r>
    </w:p>
    <w:p>
      <w:pPr>
        <w:numPr>
          <w:ilvl w:val="0"/>
          <w:numId w:val="4"/>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绩效指标。</w:t>
      </w:r>
    </w:p>
    <w:tbl>
      <w:tblPr>
        <w:tblW w:w="9990" w:type="dxa"/>
        <w:tblInd w:w="0" w:type="dxa"/>
        <w:shd w:val="clear"/>
        <w:tblLayout w:type="autofit"/>
        <w:tblCellMar>
          <w:top w:w="0" w:type="dxa"/>
          <w:left w:w="0" w:type="dxa"/>
          <w:bottom w:w="0" w:type="dxa"/>
          <w:right w:w="0" w:type="dxa"/>
        </w:tblCellMar>
      </w:tblPr>
      <w:tblGrid>
        <w:gridCol w:w="630"/>
        <w:gridCol w:w="1770"/>
        <w:gridCol w:w="1140"/>
        <w:gridCol w:w="4215"/>
        <w:gridCol w:w="2235"/>
      </w:tblGrid>
      <w:tr>
        <w:tblPrEx>
          <w:shd w:val="clear"/>
          <w:tblCellMar>
            <w:top w:w="0" w:type="dxa"/>
            <w:left w:w="0" w:type="dxa"/>
            <w:bottom w:w="0" w:type="dxa"/>
            <w:right w:w="0" w:type="dxa"/>
          </w:tblCellMar>
        </w:tblPrEx>
        <w:trPr>
          <w:trHeight w:val="510" w:hRule="atLeast"/>
        </w:trPr>
        <w:tc>
          <w:tcPr>
            <w:tcW w:w="63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绩</w:t>
            </w:r>
            <w:r>
              <w:rPr>
                <w:rFonts w:hint="eastAsia" w:ascii="宋体" w:hAnsi="宋体" w:eastAsia="宋体" w:cs="宋体"/>
                <w:i w:val="0"/>
                <w:color w:val="000000"/>
                <w:kern w:val="0"/>
                <w:sz w:val="20"/>
                <w:szCs w:val="20"/>
                <w:u w:val="none"/>
                <w:bdr w:val="none" w:color="auto" w:sz="0" w:space="0"/>
                <w:lang w:val="en-US" w:eastAsia="zh-CN" w:bidi="ar"/>
              </w:rPr>
              <w:br w:type="textWrapping"/>
            </w:r>
            <w:r>
              <w:rPr>
                <w:rFonts w:hint="eastAsia" w:ascii="宋体" w:hAnsi="宋体" w:eastAsia="宋体" w:cs="宋体"/>
                <w:i w:val="0"/>
                <w:color w:val="000000"/>
                <w:kern w:val="0"/>
                <w:sz w:val="20"/>
                <w:szCs w:val="20"/>
                <w:u w:val="none"/>
                <w:bdr w:val="none" w:color="auto" w:sz="0" w:space="0"/>
                <w:lang w:val="en-US" w:eastAsia="zh-CN" w:bidi="ar"/>
              </w:rPr>
              <w:t>效</w:t>
            </w:r>
            <w:r>
              <w:rPr>
                <w:rFonts w:hint="eastAsia" w:ascii="宋体" w:hAnsi="宋体" w:eastAsia="宋体" w:cs="宋体"/>
                <w:i w:val="0"/>
                <w:color w:val="000000"/>
                <w:kern w:val="0"/>
                <w:sz w:val="20"/>
                <w:szCs w:val="20"/>
                <w:u w:val="none"/>
                <w:bdr w:val="none" w:color="auto" w:sz="0" w:space="0"/>
                <w:lang w:val="en-US" w:eastAsia="zh-CN" w:bidi="ar"/>
              </w:rPr>
              <w:br w:type="textWrapping"/>
            </w:r>
            <w:r>
              <w:rPr>
                <w:rFonts w:hint="eastAsia" w:ascii="宋体" w:hAnsi="宋体" w:eastAsia="宋体" w:cs="宋体"/>
                <w:i w:val="0"/>
                <w:color w:val="000000"/>
                <w:kern w:val="0"/>
                <w:sz w:val="20"/>
                <w:szCs w:val="20"/>
                <w:u w:val="none"/>
                <w:bdr w:val="none" w:color="auto" w:sz="0" w:space="0"/>
                <w:lang w:val="en-US" w:eastAsia="zh-CN" w:bidi="ar"/>
              </w:rPr>
              <w:t>指</w:t>
            </w:r>
            <w:r>
              <w:rPr>
                <w:rFonts w:hint="eastAsia" w:ascii="宋体" w:hAnsi="宋体" w:eastAsia="宋体" w:cs="宋体"/>
                <w:i w:val="0"/>
                <w:color w:val="000000"/>
                <w:kern w:val="0"/>
                <w:sz w:val="20"/>
                <w:szCs w:val="20"/>
                <w:u w:val="none"/>
                <w:bdr w:val="none" w:color="auto" w:sz="0" w:space="0"/>
                <w:lang w:val="en-US" w:eastAsia="zh-CN" w:bidi="ar"/>
              </w:rPr>
              <w:br w:type="textWrapping"/>
            </w:r>
            <w:r>
              <w:rPr>
                <w:rFonts w:hint="eastAsia" w:ascii="宋体" w:hAnsi="宋体" w:eastAsia="宋体" w:cs="宋体"/>
                <w:i w:val="0"/>
                <w:color w:val="000000"/>
                <w:kern w:val="0"/>
                <w:sz w:val="20"/>
                <w:szCs w:val="20"/>
                <w:u w:val="none"/>
                <w:bdr w:val="none" w:color="auto" w:sz="0" w:space="0"/>
                <w:lang w:val="en-US" w:eastAsia="zh-CN" w:bidi="ar"/>
              </w:rPr>
              <w:t>标</w:t>
            </w:r>
          </w:p>
        </w:tc>
        <w:tc>
          <w:tcPr>
            <w:tcW w:w="17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一级</w:t>
            </w:r>
            <w:r>
              <w:rPr>
                <w:rFonts w:hint="eastAsia" w:ascii="宋体" w:hAnsi="宋体" w:eastAsia="宋体" w:cs="宋体"/>
                <w:i w:val="0"/>
                <w:color w:val="000000"/>
                <w:kern w:val="0"/>
                <w:sz w:val="20"/>
                <w:szCs w:val="20"/>
                <w:u w:val="none"/>
                <w:bdr w:val="none" w:color="auto" w:sz="0" w:space="0"/>
                <w:lang w:val="en-US" w:eastAsia="zh-CN" w:bidi="ar"/>
              </w:rPr>
              <w:br w:type="textWrapping"/>
            </w:r>
            <w:r>
              <w:rPr>
                <w:rFonts w:hint="eastAsia" w:ascii="宋体" w:hAnsi="宋体" w:eastAsia="宋体" w:cs="宋体"/>
                <w:i w:val="0"/>
                <w:color w:val="000000"/>
                <w:kern w:val="0"/>
                <w:sz w:val="20"/>
                <w:szCs w:val="20"/>
                <w:u w:val="none"/>
                <w:bdr w:val="none" w:color="auto" w:sz="0" w:space="0"/>
                <w:lang w:val="en-US" w:eastAsia="zh-CN" w:bidi="ar"/>
              </w:rPr>
              <w:t>指标</w:t>
            </w:r>
          </w:p>
        </w:tc>
        <w:tc>
          <w:tcPr>
            <w:tcW w:w="114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二级指标</w:t>
            </w:r>
          </w:p>
        </w:tc>
        <w:tc>
          <w:tcPr>
            <w:tcW w:w="42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三级指标</w:t>
            </w:r>
          </w:p>
        </w:tc>
        <w:tc>
          <w:tcPr>
            <w:tcW w:w="22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指标值</w:t>
            </w:r>
          </w:p>
        </w:tc>
      </w:tr>
      <w:tr>
        <w:tblPrEx>
          <w:shd w:val="clear"/>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7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产</w:t>
            </w:r>
            <w:r>
              <w:rPr>
                <w:rFonts w:hint="eastAsia" w:ascii="宋体" w:hAnsi="宋体" w:eastAsia="宋体" w:cs="宋体"/>
                <w:i w:val="0"/>
                <w:color w:val="000000"/>
                <w:kern w:val="0"/>
                <w:sz w:val="20"/>
                <w:szCs w:val="20"/>
                <w:u w:val="none"/>
                <w:bdr w:val="none" w:color="auto" w:sz="0" w:space="0"/>
                <w:lang w:val="en-US" w:eastAsia="zh-CN" w:bidi="ar"/>
              </w:rPr>
              <w:br w:type="textWrapping"/>
            </w:r>
            <w:r>
              <w:rPr>
                <w:rFonts w:hint="eastAsia" w:ascii="宋体" w:hAnsi="宋体" w:eastAsia="宋体" w:cs="宋体"/>
                <w:i w:val="0"/>
                <w:color w:val="000000"/>
                <w:kern w:val="0"/>
                <w:sz w:val="20"/>
                <w:szCs w:val="20"/>
                <w:u w:val="none"/>
                <w:bdr w:val="none" w:color="auto" w:sz="0" w:space="0"/>
                <w:lang w:val="en-US" w:eastAsia="zh-CN" w:bidi="ar"/>
              </w:rPr>
              <w:t>出</w:t>
            </w:r>
            <w:r>
              <w:rPr>
                <w:rFonts w:hint="eastAsia" w:ascii="宋体" w:hAnsi="宋体" w:eastAsia="宋体" w:cs="宋体"/>
                <w:i w:val="0"/>
                <w:color w:val="000000"/>
                <w:kern w:val="0"/>
                <w:sz w:val="20"/>
                <w:szCs w:val="20"/>
                <w:u w:val="none"/>
                <w:bdr w:val="none" w:color="auto" w:sz="0" w:space="0"/>
                <w:lang w:val="en-US" w:eastAsia="zh-CN" w:bidi="ar"/>
              </w:rPr>
              <w:br w:type="textWrapping"/>
            </w:r>
            <w:r>
              <w:rPr>
                <w:rFonts w:hint="eastAsia" w:ascii="宋体" w:hAnsi="宋体" w:eastAsia="宋体" w:cs="宋体"/>
                <w:i w:val="0"/>
                <w:color w:val="000000"/>
                <w:kern w:val="0"/>
                <w:sz w:val="20"/>
                <w:szCs w:val="20"/>
                <w:u w:val="none"/>
                <w:bdr w:val="none" w:color="auto" w:sz="0" w:space="0"/>
                <w:lang w:val="en-US" w:eastAsia="zh-CN" w:bidi="ar"/>
              </w:rPr>
              <w:t>指</w:t>
            </w:r>
            <w:r>
              <w:rPr>
                <w:rFonts w:hint="eastAsia" w:ascii="宋体" w:hAnsi="宋体" w:eastAsia="宋体" w:cs="宋体"/>
                <w:i w:val="0"/>
                <w:color w:val="000000"/>
                <w:kern w:val="0"/>
                <w:sz w:val="20"/>
                <w:szCs w:val="20"/>
                <w:u w:val="none"/>
                <w:bdr w:val="none" w:color="auto" w:sz="0" w:space="0"/>
                <w:lang w:val="en-US" w:eastAsia="zh-CN" w:bidi="ar"/>
              </w:rPr>
              <w:br w:type="textWrapping"/>
            </w:r>
            <w:r>
              <w:rPr>
                <w:rFonts w:hint="eastAsia" w:ascii="宋体" w:hAnsi="宋体" w:eastAsia="宋体" w:cs="宋体"/>
                <w:i w:val="0"/>
                <w:color w:val="000000"/>
                <w:kern w:val="0"/>
                <w:sz w:val="20"/>
                <w:szCs w:val="20"/>
                <w:u w:val="none"/>
                <w:bdr w:val="none" w:color="auto" w:sz="0" w:space="0"/>
                <w:lang w:val="en-US" w:eastAsia="zh-CN" w:bidi="ar"/>
              </w:rPr>
              <w:t>标</w:t>
            </w:r>
          </w:p>
        </w:tc>
        <w:tc>
          <w:tcPr>
            <w:tcW w:w="114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数量指标</w:t>
            </w:r>
          </w:p>
        </w:tc>
        <w:tc>
          <w:tcPr>
            <w:tcW w:w="42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配置辅助器具残疾人人数</w:t>
            </w:r>
          </w:p>
        </w:tc>
        <w:tc>
          <w:tcPr>
            <w:tcW w:w="22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≥1303人</w:t>
            </w:r>
          </w:p>
        </w:tc>
      </w:tr>
      <w:tr>
        <w:tblPrEx>
          <w:shd w:val="clear"/>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得到基本康复服务的残疾人人数</w:t>
            </w:r>
          </w:p>
        </w:tc>
        <w:tc>
          <w:tcPr>
            <w:tcW w:w="22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≥1216人</w:t>
            </w:r>
          </w:p>
        </w:tc>
      </w:tr>
      <w:tr>
        <w:tblPrEx>
          <w:shd w:val="clear"/>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接受农村实用技术培训人数</w:t>
            </w:r>
          </w:p>
        </w:tc>
        <w:tc>
          <w:tcPr>
            <w:tcW w:w="22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≥432人次</w:t>
            </w:r>
          </w:p>
        </w:tc>
      </w:tr>
      <w:tr>
        <w:tblPrEx>
          <w:shd w:val="clear"/>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资助接受托养服务人次</w:t>
            </w:r>
          </w:p>
        </w:tc>
        <w:tc>
          <w:tcPr>
            <w:tcW w:w="22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≥89人次</w:t>
            </w:r>
          </w:p>
        </w:tc>
      </w:tr>
      <w:tr>
        <w:tblPrEx>
          <w:shd w:val="clear"/>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发放残疾人机动轮椅车燃油补贴人次</w:t>
            </w:r>
          </w:p>
        </w:tc>
        <w:tc>
          <w:tcPr>
            <w:tcW w:w="22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≥39人次</w:t>
            </w:r>
          </w:p>
        </w:tc>
      </w:tr>
      <w:tr>
        <w:tblPrEx>
          <w:shd w:val="clear"/>
          <w:tblCellMar>
            <w:top w:w="0" w:type="dxa"/>
            <w:left w:w="0" w:type="dxa"/>
            <w:bottom w:w="0" w:type="dxa"/>
            <w:right w:w="0" w:type="dxa"/>
          </w:tblCellMar>
        </w:tblPrEx>
        <w:trPr>
          <w:trHeight w:val="480"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40" w:type="dxa"/>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质量指标</w:t>
            </w:r>
          </w:p>
        </w:tc>
        <w:tc>
          <w:tcPr>
            <w:tcW w:w="42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接受农村实用技术培训残疾人掌握的生产技能数量</w:t>
            </w:r>
          </w:p>
        </w:tc>
        <w:tc>
          <w:tcPr>
            <w:tcW w:w="22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≥1门</w:t>
            </w:r>
          </w:p>
        </w:tc>
      </w:tr>
      <w:tr>
        <w:tblPrEx>
          <w:shd w:val="clear"/>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40" w:type="dxa"/>
            <w:tcBorders>
              <w:top w:val="nil"/>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成本指标</w:t>
            </w:r>
          </w:p>
        </w:tc>
        <w:tc>
          <w:tcPr>
            <w:tcW w:w="42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残疾人机动轮椅车燃油补贴年均补助标准</w:t>
            </w:r>
          </w:p>
        </w:tc>
        <w:tc>
          <w:tcPr>
            <w:tcW w:w="22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260元/人</w:t>
            </w:r>
          </w:p>
        </w:tc>
      </w:tr>
      <w:tr>
        <w:tblPrEx>
          <w:shd w:val="clear"/>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时效指标</w:t>
            </w:r>
          </w:p>
        </w:tc>
        <w:tc>
          <w:tcPr>
            <w:tcW w:w="42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项目完成及时率</w:t>
            </w:r>
          </w:p>
        </w:tc>
        <w:tc>
          <w:tcPr>
            <w:tcW w:w="22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≥80%</w:t>
            </w:r>
          </w:p>
        </w:tc>
      </w:tr>
      <w:tr>
        <w:tblPrEx>
          <w:shd w:val="clear"/>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7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效果指标</w:t>
            </w:r>
          </w:p>
        </w:tc>
        <w:tc>
          <w:tcPr>
            <w:tcW w:w="114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社会效益</w:t>
            </w:r>
            <w:r>
              <w:rPr>
                <w:rFonts w:hint="eastAsia" w:ascii="宋体" w:hAnsi="宋体" w:eastAsia="宋体" w:cs="宋体"/>
                <w:i w:val="0"/>
                <w:color w:val="000000"/>
                <w:kern w:val="0"/>
                <w:sz w:val="20"/>
                <w:szCs w:val="20"/>
                <w:u w:val="none"/>
                <w:bdr w:val="none" w:color="auto" w:sz="0" w:space="0"/>
                <w:lang w:val="en-US" w:eastAsia="zh-CN" w:bidi="ar"/>
              </w:rPr>
              <w:br w:type="textWrapping"/>
            </w:r>
            <w:r>
              <w:rPr>
                <w:rFonts w:hint="eastAsia" w:ascii="宋体" w:hAnsi="宋体" w:eastAsia="宋体" w:cs="宋体"/>
                <w:i w:val="0"/>
                <w:color w:val="000000"/>
                <w:kern w:val="0"/>
                <w:sz w:val="20"/>
                <w:szCs w:val="20"/>
                <w:u w:val="none"/>
                <w:bdr w:val="none" w:color="auto" w:sz="0" w:space="0"/>
                <w:lang w:val="en-US" w:eastAsia="zh-CN" w:bidi="ar"/>
              </w:rPr>
              <w:t>指标</w:t>
            </w:r>
          </w:p>
        </w:tc>
        <w:tc>
          <w:tcPr>
            <w:tcW w:w="42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残疾人康复服务水平</w:t>
            </w:r>
          </w:p>
        </w:tc>
        <w:tc>
          <w:tcPr>
            <w:tcW w:w="22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有所提高</w:t>
            </w:r>
          </w:p>
        </w:tc>
      </w:tr>
      <w:tr>
        <w:tblPrEx>
          <w:shd w:val="clear"/>
          <w:tblCellMar>
            <w:top w:w="0" w:type="dxa"/>
            <w:left w:w="0" w:type="dxa"/>
            <w:bottom w:w="0" w:type="dxa"/>
            <w:right w:w="0" w:type="dxa"/>
          </w:tblCellMar>
        </w:tblPrEx>
        <w:trPr>
          <w:trHeight w:val="540"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接受扫盲和农村实用技术培训的残疾人受教育水平和生活生产能力</w:t>
            </w:r>
          </w:p>
        </w:tc>
        <w:tc>
          <w:tcPr>
            <w:tcW w:w="22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有所提高</w:t>
            </w:r>
          </w:p>
        </w:tc>
      </w:tr>
      <w:tr>
        <w:tblPrEx>
          <w:shd w:val="clear"/>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残疾人机动轮椅车车主出行便利程度</w:t>
            </w:r>
          </w:p>
        </w:tc>
        <w:tc>
          <w:tcPr>
            <w:tcW w:w="22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有所提高</w:t>
            </w:r>
          </w:p>
        </w:tc>
      </w:tr>
      <w:tr>
        <w:tblPrEx>
          <w:shd w:val="clear"/>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关心、理解、支持残疾人的社会氛围</w:t>
            </w:r>
          </w:p>
        </w:tc>
        <w:tc>
          <w:tcPr>
            <w:tcW w:w="22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有所改善</w:t>
            </w:r>
          </w:p>
        </w:tc>
      </w:tr>
      <w:tr>
        <w:tblPrEx>
          <w:shd w:val="clear"/>
          <w:tblCellMar>
            <w:top w:w="0" w:type="dxa"/>
            <w:left w:w="0" w:type="dxa"/>
            <w:bottom w:w="0" w:type="dxa"/>
            <w:right w:w="0" w:type="dxa"/>
          </w:tblCellMar>
        </w:tblPrEx>
        <w:trPr>
          <w:trHeight w:val="46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7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满意度指标</w:t>
            </w:r>
          </w:p>
        </w:tc>
        <w:tc>
          <w:tcPr>
            <w:tcW w:w="114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服务对象</w:t>
            </w:r>
            <w:r>
              <w:rPr>
                <w:rFonts w:hint="eastAsia" w:ascii="宋体" w:hAnsi="宋体" w:eastAsia="宋体" w:cs="宋体"/>
                <w:i w:val="0"/>
                <w:color w:val="000000"/>
                <w:kern w:val="0"/>
                <w:sz w:val="20"/>
                <w:szCs w:val="20"/>
                <w:u w:val="none"/>
                <w:bdr w:val="none" w:color="auto" w:sz="0" w:space="0"/>
                <w:lang w:val="en-US" w:eastAsia="zh-CN" w:bidi="ar"/>
              </w:rPr>
              <w:br w:type="textWrapping"/>
            </w:r>
            <w:r>
              <w:rPr>
                <w:rFonts w:hint="eastAsia" w:ascii="宋体" w:hAnsi="宋体" w:eastAsia="宋体" w:cs="宋体"/>
                <w:i w:val="0"/>
                <w:color w:val="000000"/>
                <w:kern w:val="0"/>
                <w:sz w:val="20"/>
                <w:szCs w:val="20"/>
                <w:u w:val="none"/>
                <w:bdr w:val="none" w:color="auto" w:sz="0" w:space="0"/>
                <w:lang w:val="en-US" w:eastAsia="zh-CN" w:bidi="ar"/>
              </w:rPr>
              <w:t>满意度指标</w:t>
            </w:r>
          </w:p>
        </w:tc>
        <w:tc>
          <w:tcPr>
            <w:tcW w:w="42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残疾人或其家属对残疾人康复服务的满意度</w:t>
            </w:r>
          </w:p>
        </w:tc>
        <w:tc>
          <w:tcPr>
            <w:tcW w:w="22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≥80%</w:t>
            </w:r>
          </w:p>
        </w:tc>
      </w:tr>
      <w:tr>
        <w:tblPrEx>
          <w:shd w:val="clear"/>
          <w:tblCellMar>
            <w:top w:w="0" w:type="dxa"/>
            <w:left w:w="0" w:type="dxa"/>
            <w:bottom w:w="0" w:type="dxa"/>
            <w:right w:w="0" w:type="dxa"/>
          </w:tblCellMar>
        </w:tblPrEx>
        <w:trPr>
          <w:trHeight w:val="499"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接受农村实用技术和扫盲培训残疾人或其家属满意度</w:t>
            </w:r>
          </w:p>
        </w:tc>
        <w:tc>
          <w:tcPr>
            <w:tcW w:w="22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≥70%</w:t>
            </w:r>
          </w:p>
        </w:tc>
      </w:tr>
      <w:tr>
        <w:tblPrEx>
          <w:shd w:val="clear"/>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接受托养服务残疾人或其家属的满意度</w:t>
            </w:r>
          </w:p>
        </w:tc>
        <w:tc>
          <w:tcPr>
            <w:tcW w:w="22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≥70%</w:t>
            </w:r>
          </w:p>
        </w:tc>
      </w:tr>
      <w:tr>
        <w:tblPrEx>
          <w:shd w:val="clear"/>
          <w:tblCellMar>
            <w:top w:w="0" w:type="dxa"/>
            <w:left w:w="0" w:type="dxa"/>
            <w:bottom w:w="0" w:type="dxa"/>
            <w:right w:w="0" w:type="dxa"/>
          </w:tblCellMar>
        </w:tblPrEx>
        <w:trPr>
          <w:trHeight w:val="342" w:hRule="atLeast"/>
        </w:trPr>
        <w:tc>
          <w:tcPr>
            <w:tcW w:w="63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2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接受燃油补贴残疾人满意度</w:t>
            </w:r>
          </w:p>
        </w:tc>
        <w:tc>
          <w:tcPr>
            <w:tcW w:w="223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bdr w:val="none" w:color="auto" w:sz="0" w:space="0"/>
                <w:lang w:val="en-US" w:eastAsia="zh-CN" w:bidi="ar"/>
              </w:rPr>
              <w:t>≥80%</w:t>
            </w:r>
          </w:p>
        </w:tc>
      </w:tr>
    </w:tbl>
    <w:p>
      <w:pPr>
        <w:numPr>
          <w:numId w:val="0"/>
        </w:numPr>
        <w:adjustRightInd w:val="0"/>
        <w:ind w:leftChars="150"/>
        <w:rPr>
          <w:rFonts w:hint="eastAsia" w:ascii="仿宋" w:hAnsi="仿宋" w:eastAsia="仿宋" w:cs="仿宋"/>
          <w:sz w:val="32"/>
          <w:szCs w:val="32"/>
        </w:rPr>
      </w:pPr>
    </w:p>
    <w:p>
      <w:pPr>
        <w:numPr>
          <w:ilvl w:val="0"/>
          <w:numId w:val="4"/>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评价标准和评价方法。</w:t>
      </w:r>
    </w:p>
    <w:p>
      <w:pPr>
        <w:numPr>
          <w:numId w:val="0"/>
        </w:numPr>
        <w:adjustRightInd w:val="0"/>
        <w:ind w:leftChars="150" w:firstLine="320" w:firstLineChars="100"/>
        <w:rPr>
          <w:rFonts w:hint="eastAsia" w:ascii="仿宋" w:hAnsi="仿宋" w:eastAsia="仿宋" w:cs="仿宋"/>
          <w:sz w:val="32"/>
          <w:szCs w:val="32"/>
          <w:lang w:eastAsia="zh-CN"/>
        </w:rPr>
      </w:pPr>
      <w:r>
        <w:rPr>
          <w:rFonts w:hint="eastAsia" w:ascii="仿宋" w:hAnsi="仿宋" w:eastAsia="仿宋" w:cs="仿宋"/>
          <w:sz w:val="32"/>
          <w:szCs w:val="32"/>
          <w:lang w:eastAsia="zh-CN"/>
        </w:rPr>
        <w:t>评价标准依据行业标准和中国残疾人联合会及河北省残疾人联合会下发文件。</w:t>
      </w:r>
    </w:p>
    <w:p>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各项绩效目标的实现程度及差异性原因分析。</w:t>
      </w:r>
    </w:p>
    <w:p>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存在问题</w:t>
      </w:r>
      <w:r>
        <w:rPr>
          <w:rFonts w:hint="eastAsia" w:ascii="黑体" w:hAnsi="黑体" w:eastAsia="黑体" w:cs="仿宋"/>
          <w:sz w:val="32"/>
          <w:szCs w:val="32"/>
          <w:lang w:eastAsia="zh-CN"/>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uto"/>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预算编制有待更严格执行。预算编制与实际支出项目有的仍存在细微差异。</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uto"/>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固定资产管理有待加强。部分固定资产折损。未及时进行清理。</w:t>
      </w:r>
    </w:p>
    <w:p>
      <w:pPr>
        <w:pStyle w:val="17"/>
        <w:numPr>
          <w:numId w:val="0"/>
        </w:numPr>
        <w:ind w:left="709" w:leftChars="0"/>
      </w:pPr>
      <w:r>
        <w:rPr>
          <w:rFonts w:hint="eastAsia" w:ascii="黑体" w:hAnsi="黑体" w:eastAsia="黑体" w:cs="仿宋"/>
          <w:sz w:val="32"/>
          <w:szCs w:val="32"/>
          <w:lang w:eastAsia="zh-CN"/>
        </w:rPr>
        <w:t>五、</w:t>
      </w:r>
      <w:r>
        <w:rPr>
          <w:rFonts w:hint="eastAsia" w:ascii="黑体" w:hAnsi="黑体" w:eastAsia="黑体" w:cs="仿宋"/>
          <w:sz w:val="32"/>
          <w:szCs w:val="32"/>
        </w:rPr>
        <w:t>采取的纠偏措施及改进绩效管理建议。</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uto"/>
        <w:ind w:left="0" w:right="0" w:firstLine="480" w:firstLineChars="200"/>
        <w:jc w:val="left"/>
        <w:textAlignment w:val="auto"/>
        <w:rPr>
          <w:rFonts w:hint="eastAsia" w:ascii="仿宋" w:hAnsi="仿宋" w:eastAsia="仿宋" w:cs="仿宋"/>
          <w:sz w:val="32"/>
          <w:szCs w:val="32"/>
        </w:rPr>
      </w:pPr>
      <w:r>
        <w:rPr>
          <w:rFonts w:hint="eastAsia"/>
          <w:lang w:eastAsia="zh-CN"/>
        </w:rPr>
        <w:tab/>
      </w:r>
      <w:r>
        <w:rPr>
          <w:rFonts w:hint="eastAsia" w:ascii="仿宋" w:hAnsi="仿宋" w:eastAsia="仿宋" w:cs="仿宋"/>
          <w:sz w:val="32"/>
          <w:szCs w:val="32"/>
          <w:lang w:val="en-US" w:eastAsia="zh-CN"/>
        </w:rPr>
        <w:t>1、</w:t>
      </w:r>
      <w:r>
        <w:rPr>
          <w:rFonts w:hint="eastAsia" w:ascii="仿宋" w:hAnsi="仿宋" w:eastAsia="仿宋" w:cs="仿宋"/>
          <w:sz w:val="32"/>
          <w:szCs w:val="32"/>
        </w:rPr>
        <w:t>按照预算规定的项目和用途严格财务审核，经费支出严格按预算规定项目的财务支出内容进行财务核算，在预算金额内严格控制费用的支出。</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uto"/>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预算财务分析常态化，定期做好预算支出财务分析，做好单位整体支出预算评价工作。</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uto"/>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制度适用本局的固定资产管理制度，从资产采购、使用以及报废各环节规范固定资产的管理，提高固定资产使用效率，减少资金浪费。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uto"/>
        <w:ind w:left="0" w:right="0" w:firstLine="640" w:firstLineChars="200"/>
        <w:jc w:val="left"/>
        <w:textAlignment w:val="auto"/>
        <w:rPr>
          <w:rFonts w:hint="eastAsia" w:ascii="仿宋" w:hAnsi="仿宋" w:eastAsia="仿宋" w:cs="仿宋"/>
          <w:sz w:val="32"/>
          <w:szCs w:val="32"/>
        </w:rPr>
      </w:pPr>
    </w:p>
    <w:p>
      <w:pPr>
        <w:tabs>
          <w:tab w:val="left" w:pos="1371"/>
        </w:tabs>
        <w:bidi w:val="0"/>
        <w:jc w:val="left"/>
        <w:rPr>
          <w:rFonts w:hint="eastAsia" w:eastAsiaTheme="minorEastAsia"/>
          <w:sz w:val="32"/>
          <w:szCs w:val="32"/>
          <w:lang w:eastAsia="zh-CN"/>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 w:name="Arial">
    <w:panose1 w:val="020B0604020202020204"/>
    <w:charset w:val="00"/>
    <w:family w:val="swiss"/>
    <w:pitch w:val="default"/>
    <w:sig w:usb0="E0002AFF" w:usb1="C0007843" w:usb2="00000009" w:usb3="00000000" w:csb0="400001FF" w:csb1="FFFF0000"/>
  </w:font>
  <w:font w:name="楷体">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Aharoni">
    <w:panose1 w:val="02010803020104030203"/>
    <w:charset w:val="00"/>
    <w:family w:val="auto"/>
    <w:pitch w:val="default"/>
    <w:sig w:usb0="00000801" w:usb1="00000000" w:usb2="00000000" w:usb3="00000000" w:csb0="00000020" w:csb1="00200000"/>
  </w:font>
  <w:font w:name="楷体_GB2312">
    <w:panose1 w:val="02010609030101010101"/>
    <w:charset w:val="86"/>
    <w:family w:val="auto"/>
    <w:pitch w:val="default"/>
    <w:sig w:usb0="00000001" w:usb1="080E0000" w:usb2="00000000" w:usb3="00000000" w:csb0="00040000" w:csb1="00000000"/>
  </w:font>
  <w:font w:name="华文琥珀">
    <w:panose1 w:val="02010800040101010101"/>
    <w:charset w:val="86"/>
    <w:family w:val="auto"/>
    <w:pitch w:val="default"/>
    <w:sig w:usb0="00000001" w:usb1="080F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华文楷体">
    <w:panose1 w:val="02010600040101010101"/>
    <w:charset w:val="86"/>
    <w:family w:val="auto"/>
    <w:pitch w:val="default"/>
    <w:sig w:usb0="00000287" w:usb1="080F0000" w:usb2="00000000" w:usb3="00000000" w:csb0="0004009F" w:csb1="DFD70000"/>
  </w:font>
  <w:font w:name="方正舒体">
    <w:panose1 w:val="02010601030101010101"/>
    <w:charset w:val="86"/>
    <w:family w:val="auto"/>
    <w:pitch w:val="default"/>
    <w:sig w:usb0="00000003" w:usb1="080E0000" w:usb2="00000000" w:usb3="00000000" w:csb0="00040000" w:csb1="00000000"/>
  </w:font>
  <w:font w:name="瀹嬩綋">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7</w:t>
    </w:r>
    <w:r>
      <w:rPr>
        <w:rStyle w:val="11"/>
        <w:rFonts w:ascii="宋体" w:hAnsi="宋体" w:eastAsia="宋体"/>
        <w:sz w:val="28"/>
        <w:szCs w:val="28"/>
      </w:rPr>
      <w:fldChar w:fldCharType="end"/>
    </w:r>
    <w:r>
      <w:rPr>
        <w:rStyle w:val="11"/>
        <w:rFonts w:hint="eastAsia" w:ascii="宋体" w:hAnsi="宋体" w:eastAsia="宋体"/>
        <w:sz w:val="28"/>
        <w:szCs w:val="28"/>
      </w:rPr>
      <w:t>-</w:t>
    </w:r>
  </w:p>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9AAE27E"/>
    <w:multiLevelType w:val="singleLevel"/>
    <w:tmpl w:val="A9AAE27E"/>
    <w:lvl w:ilvl="0" w:tentative="0">
      <w:start w:val="2"/>
      <w:numFmt w:val="chineseCounting"/>
      <w:suff w:val="nothing"/>
      <w:lvlText w:val="（%1）"/>
      <w:lvlJc w:val="left"/>
      <w:pPr>
        <w:ind w:left="480" w:leftChars="0" w:firstLine="0" w:firstLineChars="0"/>
      </w:pPr>
      <w:rPr>
        <w:rFonts w:hint="eastAsia"/>
      </w:rPr>
    </w:lvl>
  </w:abstractNum>
  <w:abstractNum w:abstractNumId="1">
    <w:nsid w:val="B11941B4"/>
    <w:multiLevelType w:val="singleLevel"/>
    <w:tmpl w:val="B11941B4"/>
    <w:lvl w:ilvl="0" w:tentative="0">
      <w:start w:val="1"/>
      <w:numFmt w:val="chineseCounting"/>
      <w:suff w:val="nothing"/>
      <w:lvlText w:val="（%1）"/>
      <w:lvlJc w:val="left"/>
      <w:rPr>
        <w:rFonts w:hint="eastAsia"/>
      </w:rPr>
    </w:lvl>
  </w:abstractNum>
  <w:abstractNum w:abstractNumId="2">
    <w:nsid w:val="2A6ED68B"/>
    <w:multiLevelType w:val="singleLevel"/>
    <w:tmpl w:val="2A6ED68B"/>
    <w:lvl w:ilvl="0" w:tentative="0">
      <w:start w:val="1"/>
      <w:numFmt w:val="chineseCounting"/>
      <w:suff w:val="nothing"/>
      <w:lvlText w:val="（%1）"/>
      <w:lvlJc w:val="left"/>
      <w:rPr>
        <w:rFonts w:hint="eastAsia"/>
      </w:rPr>
    </w:lvl>
  </w:abstractNum>
  <w:abstractNum w:abstractNumId="3">
    <w:nsid w:val="4DE332E9"/>
    <w:multiLevelType w:val="multilevel"/>
    <w:tmpl w:val="4DE332E9"/>
    <w:lvl w:ilvl="0" w:tentative="0">
      <w:start w:val="1"/>
      <w:numFmt w:val="japaneseCounting"/>
      <w:lvlText w:val="%1、"/>
      <w:lvlJc w:val="left"/>
      <w:pPr>
        <w:ind w:left="1429" w:hanging="720"/>
      </w:pPr>
      <w:rPr>
        <w:rFonts w:hint="default"/>
        <w:lang w:val="en-US"/>
      </w:rPr>
    </w:lvl>
    <w:lvl w:ilvl="1" w:tentative="0">
      <w:start w:val="1"/>
      <w:numFmt w:val="lowerLetter"/>
      <w:lvlText w:val="%2)"/>
      <w:lvlJc w:val="left"/>
      <w:pPr>
        <w:ind w:left="1419" w:hanging="420"/>
      </w:pPr>
    </w:lvl>
    <w:lvl w:ilvl="2" w:tentative="0">
      <w:start w:val="1"/>
      <w:numFmt w:val="lowerRoman"/>
      <w:lvlText w:val="%3."/>
      <w:lvlJc w:val="right"/>
      <w:pPr>
        <w:ind w:left="1839" w:hanging="420"/>
      </w:pPr>
    </w:lvl>
    <w:lvl w:ilvl="3" w:tentative="0">
      <w:start w:val="1"/>
      <w:numFmt w:val="decimal"/>
      <w:lvlText w:val="%4."/>
      <w:lvlJc w:val="left"/>
      <w:pPr>
        <w:ind w:left="2259" w:hanging="420"/>
      </w:pPr>
    </w:lvl>
    <w:lvl w:ilvl="4" w:tentative="0">
      <w:start w:val="1"/>
      <w:numFmt w:val="lowerLetter"/>
      <w:lvlText w:val="%5)"/>
      <w:lvlJc w:val="left"/>
      <w:pPr>
        <w:ind w:left="2679" w:hanging="420"/>
      </w:pPr>
    </w:lvl>
    <w:lvl w:ilvl="5" w:tentative="0">
      <w:start w:val="1"/>
      <w:numFmt w:val="lowerRoman"/>
      <w:lvlText w:val="%6."/>
      <w:lvlJc w:val="right"/>
      <w:pPr>
        <w:ind w:left="3099" w:hanging="420"/>
      </w:pPr>
    </w:lvl>
    <w:lvl w:ilvl="6" w:tentative="0">
      <w:start w:val="1"/>
      <w:numFmt w:val="decimal"/>
      <w:lvlText w:val="%7."/>
      <w:lvlJc w:val="left"/>
      <w:pPr>
        <w:ind w:left="3519" w:hanging="420"/>
      </w:pPr>
    </w:lvl>
    <w:lvl w:ilvl="7" w:tentative="0">
      <w:start w:val="1"/>
      <w:numFmt w:val="lowerLetter"/>
      <w:lvlText w:val="%8)"/>
      <w:lvlJc w:val="left"/>
      <w:pPr>
        <w:ind w:left="3939" w:hanging="420"/>
      </w:pPr>
    </w:lvl>
    <w:lvl w:ilvl="8" w:tentative="0">
      <w:start w:val="1"/>
      <w:numFmt w:val="lowerRoman"/>
      <w:lvlText w:val="%9."/>
      <w:lvlJc w:val="right"/>
      <w:pPr>
        <w:ind w:left="4359" w:hanging="42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9"/>
  <w:bordersDoNotSurroundHeader w:val="0"/>
  <w:bordersDoNotSurroundFooter w:val="0"/>
  <w:documentProtection w:enforcement="0"/>
  <w:defaultTabStop w:val="420"/>
  <w:drawingGridHorizontalSpacing w:val="105"/>
  <w:drawingGridVerticalSpacing w:val="313"/>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566D"/>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5374814"/>
    <w:rsid w:val="0C8F0285"/>
    <w:rsid w:val="0F8F6BFC"/>
    <w:rsid w:val="107166F3"/>
    <w:rsid w:val="1C841DE7"/>
    <w:rsid w:val="30DF358F"/>
    <w:rsid w:val="3522249B"/>
    <w:rsid w:val="3791647A"/>
    <w:rsid w:val="397C3722"/>
    <w:rsid w:val="3EB26ED5"/>
    <w:rsid w:val="413861FB"/>
    <w:rsid w:val="455969D8"/>
    <w:rsid w:val="48725571"/>
    <w:rsid w:val="4BDB04ED"/>
    <w:rsid w:val="4ECD2494"/>
    <w:rsid w:val="526A3656"/>
    <w:rsid w:val="53CD5365"/>
    <w:rsid w:val="5D643D56"/>
    <w:rsid w:val="64283056"/>
    <w:rsid w:val="69BD0A47"/>
    <w:rsid w:val="71A911C9"/>
    <w:rsid w:val="7793669D"/>
    <w:rsid w:val="77E954A8"/>
    <w:rsid w:val="7AD93A26"/>
    <w:rsid w:val="7CCC213E"/>
    <w:rsid w:val="7D293A1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857</Words>
  <Characters>4889</Characters>
  <Lines>40</Lines>
  <Paragraphs>11</Paragraphs>
  <TotalTime>20</TotalTime>
  <ScaleCrop>false</ScaleCrop>
  <LinksUpToDate>false</LinksUpToDate>
  <CharactersWithSpaces>5735</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2016-02-22T07:07:00Z</dcterms:created>
  <dc:creator>Administrator</dc:creator>
  <cp:lastModifiedBy>Administrator</cp:lastModifiedBy>
  <cp:lastPrinted>2018-11-29T03:23:00Z</cp:lastPrinted>
  <dcterms:modified xsi:type="dcterms:W3CDTF">2022-03-08T08:41:26Z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