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宋体" w:hAnsi="宋体" w:eastAsia="宋体" w:cs="宋体"/>
          <w:b/>
          <w:bCs/>
          <w:kern w:val="0"/>
          <w:sz w:val="44"/>
          <w:szCs w:val="44"/>
        </w:rPr>
      </w:pPr>
    </w:p>
    <w:p>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隆尧县</w:t>
      </w:r>
      <w:r>
        <w:rPr>
          <w:rFonts w:hint="eastAsia" w:ascii="宋体" w:hAnsi="宋体" w:eastAsia="宋体" w:cs="宋体"/>
          <w:b/>
          <w:bCs/>
          <w:kern w:val="0"/>
          <w:sz w:val="44"/>
          <w:szCs w:val="44"/>
          <w:lang w:eastAsia="zh-CN"/>
        </w:rPr>
        <w:t>莲子镇</w:t>
      </w:r>
      <w:r>
        <w:rPr>
          <w:rFonts w:hint="eastAsia" w:ascii="宋体" w:hAnsi="宋体" w:eastAsia="宋体" w:cs="宋体"/>
          <w:b/>
          <w:bCs/>
          <w:kern w:val="0"/>
          <w:sz w:val="44"/>
          <w:szCs w:val="44"/>
        </w:rPr>
        <w:t>镇人民政府</w:t>
      </w:r>
    </w:p>
    <w:p>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2021年在职村干部补贴项目绩效评价</w:t>
      </w:r>
    </w:p>
    <w:p>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自评报告</w:t>
      </w:r>
    </w:p>
    <w:p>
      <w:pPr>
        <w:widowControl/>
        <w:rPr>
          <w:rFonts w:ascii="黑体" w:hAnsi="黑体" w:eastAsia="黑体" w:cs="宋体"/>
          <w:b/>
          <w:bCs/>
          <w:kern w:val="0"/>
          <w:sz w:val="44"/>
          <w:szCs w:val="44"/>
        </w:rPr>
      </w:pPr>
    </w:p>
    <w:p>
      <w:pPr>
        <w:pStyle w:val="8"/>
        <w:widowControl/>
        <w:numPr>
          <w:ilvl w:val="0"/>
          <w:numId w:val="1"/>
        </w:numPr>
        <w:ind w:firstLineChars="0"/>
        <w:rPr>
          <w:rFonts w:ascii="黑体" w:hAnsi="黑体" w:eastAsia="黑体" w:cs="宋体"/>
          <w:b/>
          <w:bCs/>
          <w:kern w:val="0"/>
          <w:sz w:val="32"/>
          <w:szCs w:val="32"/>
        </w:rPr>
      </w:pPr>
      <w:r>
        <w:rPr>
          <w:rFonts w:hint="eastAsia" w:ascii="黑体" w:hAnsi="黑体" w:eastAsia="黑体" w:cs="宋体"/>
          <w:b/>
          <w:bCs/>
          <w:kern w:val="0"/>
          <w:sz w:val="32"/>
          <w:szCs w:val="32"/>
        </w:rPr>
        <w:t>项目概况</w:t>
      </w:r>
    </w:p>
    <w:p>
      <w:pPr>
        <w:widowControl/>
        <w:rPr>
          <w:rFonts w:cs="宋体" w:asciiTheme="minorEastAsia" w:hAnsiTheme="minorEastAsia"/>
          <w:kern w:val="0"/>
          <w:sz w:val="32"/>
          <w:szCs w:val="32"/>
        </w:rPr>
      </w:pPr>
      <w:r>
        <w:rPr>
          <w:rFonts w:hint="eastAsia" w:cs="宋体" w:asciiTheme="minorEastAsia" w:hAnsiTheme="minorEastAsia"/>
          <w:kern w:val="0"/>
          <w:sz w:val="32"/>
          <w:szCs w:val="32"/>
        </w:rPr>
        <w:t xml:space="preserve">  </w:t>
      </w:r>
      <w:r>
        <w:rPr>
          <w:rFonts w:cs="宋体" w:asciiTheme="minorEastAsia" w:hAnsiTheme="minorEastAsia"/>
          <w:kern w:val="0"/>
          <w:sz w:val="32"/>
          <w:szCs w:val="32"/>
        </w:rPr>
        <w:t xml:space="preserve"> </w:t>
      </w:r>
      <w:r>
        <w:rPr>
          <w:rFonts w:ascii="仿宋" w:hAnsi="仿宋" w:eastAsia="仿宋" w:cs="宋体"/>
          <w:kern w:val="0"/>
          <w:sz w:val="32"/>
          <w:szCs w:val="32"/>
        </w:rPr>
        <w:t xml:space="preserve"> </w:t>
      </w:r>
      <w:r>
        <w:rPr>
          <w:rFonts w:hint="eastAsia" w:ascii="仿宋" w:hAnsi="仿宋" w:eastAsia="仿宋" w:cs="宋体"/>
          <w:kern w:val="0"/>
          <w:sz w:val="32"/>
          <w:szCs w:val="32"/>
        </w:rPr>
        <w:t>为了进一步加强农村基层组织建设，明确工作任务，强化工作职责，切实转变工作作风，建立健全科学的村干部管理考核评价机制，最大限度地调动和发挥村干部工作积极性、主动性和创造性，努力形成创先争优的良好态势。</w:t>
      </w:r>
    </w:p>
    <w:p>
      <w:pPr>
        <w:widowControl/>
        <w:rPr>
          <w:rFonts w:ascii="仿宋" w:hAnsi="仿宋" w:eastAsia="仿宋" w:cs="宋体"/>
          <w:kern w:val="0"/>
          <w:sz w:val="32"/>
          <w:szCs w:val="32"/>
        </w:rPr>
      </w:pPr>
      <w:r>
        <w:rPr>
          <w:rFonts w:hint="eastAsia" w:cs="宋体" w:asciiTheme="minorEastAsia" w:hAnsiTheme="minorEastAsia"/>
          <w:kern w:val="0"/>
          <w:sz w:val="32"/>
          <w:szCs w:val="32"/>
        </w:rPr>
        <w:t>（</w:t>
      </w:r>
      <w:r>
        <w:rPr>
          <w:rFonts w:hint="eastAsia" w:ascii="仿宋" w:hAnsi="仿宋" w:eastAsia="仿宋" w:cs="宋体"/>
          <w:kern w:val="0"/>
          <w:sz w:val="32"/>
          <w:szCs w:val="32"/>
        </w:rPr>
        <w:t>一）政府战略规划或目标。</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总目标：隆尧县</w:t>
      </w:r>
      <w:r>
        <w:rPr>
          <w:rFonts w:hint="eastAsia" w:ascii="仿宋" w:hAnsi="仿宋" w:eastAsia="仿宋" w:cs="宋体"/>
          <w:kern w:val="0"/>
          <w:sz w:val="32"/>
          <w:szCs w:val="32"/>
          <w:lang w:eastAsia="zh-CN"/>
        </w:rPr>
        <w:t>莲子镇</w:t>
      </w:r>
      <w:r>
        <w:rPr>
          <w:rFonts w:hint="eastAsia" w:ascii="仿宋" w:hAnsi="仿宋" w:eastAsia="仿宋" w:cs="宋体"/>
          <w:kern w:val="0"/>
          <w:sz w:val="32"/>
          <w:szCs w:val="32"/>
        </w:rPr>
        <w:t>镇人民政府为镇政府工作部门，机构规格正科级，位于隆尧县</w:t>
      </w:r>
      <w:r>
        <w:rPr>
          <w:rFonts w:hint="eastAsia" w:ascii="仿宋" w:hAnsi="仿宋" w:eastAsia="仿宋" w:cs="宋体"/>
          <w:kern w:val="0"/>
          <w:sz w:val="32"/>
          <w:szCs w:val="32"/>
          <w:lang w:eastAsia="zh-CN"/>
        </w:rPr>
        <w:t>莲子镇镇东范村路口</w:t>
      </w:r>
      <w:r>
        <w:rPr>
          <w:rFonts w:hint="eastAsia" w:ascii="仿宋" w:hAnsi="仿宋" w:eastAsia="仿宋" w:cs="宋体"/>
          <w:kern w:val="0"/>
          <w:sz w:val="32"/>
          <w:szCs w:val="32"/>
        </w:rPr>
        <w:t>，镇政府主要职能：⑴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⑵制定并组织实施村镇建设规划，部署重点工程建设，地方道路建设及公共设施，水利设施的管理，负责土地、林木、水等自然资源和生态环境的保护，做好护林防火工作。⑶负责本行政区域内的民政、计划生育、文化教育、卫生、体育等社会公益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p>
    <w:p>
      <w:pPr>
        <w:widowControl/>
        <w:rPr>
          <w:rFonts w:ascii="仿宋" w:hAnsi="仿宋" w:eastAsia="仿宋" w:cs="宋体"/>
          <w:kern w:val="0"/>
          <w:sz w:val="32"/>
          <w:szCs w:val="32"/>
        </w:rPr>
      </w:pPr>
      <w:r>
        <w:rPr>
          <w:rFonts w:hint="eastAsia" w:ascii="仿宋" w:hAnsi="仿宋" w:eastAsia="仿宋" w:cs="宋体"/>
          <w:kern w:val="0"/>
          <w:sz w:val="32"/>
          <w:szCs w:val="32"/>
        </w:rPr>
        <w:t xml:space="preserve">  （二）单位工作目标。</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及时对相关村委会两委干部进行补助,确保全镇</w:t>
      </w:r>
      <w:r>
        <w:rPr>
          <w:rFonts w:ascii="仿宋" w:hAnsi="仿宋" w:eastAsia="仿宋" w:cs="宋体"/>
          <w:kern w:val="0"/>
          <w:sz w:val="32"/>
          <w:szCs w:val="32"/>
        </w:rPr>
        <w:t>2</w:t>
      </w:r>
      <w:r>
        <w:rPr>
          <w:rFonts w:hint="eastAsia" w:ascii="仿宋" w:hAnsi="仿宋" w:eastAsia="仿宋" w:cs="宋体"/>
          <w:kern w:val="0"/>
          <w:sz w:val="32"/>
          <w:szCs w:val="32"/>
          <w:lang w:val="en-US" w:eastAsia="zh-CN"/>
        </w:rPr>
        <w:t>3</w:t>
      </w:r>
      <w:r>
        <w:rPr>
          <w:rFonts w:hint="eastAsia" w:ascii="仿宋" w:hAnsi="仿宋" w:eastAsia="仿宋" w:cs="宋体"/>
          <w:kern w:val="0"/>
          <w:sz w:val="32"/>
          <w:szCs w:val="32"/>
        </w:rPr>
        <w:t>个村村两委干部工作正常运转，村级事务正常开展。</w:t>
      </w:r>
    </w:p>
    <w:p>
      <w:pPr>
        <w:widowControl/>
        <w:rPr>
          <w:rFonts w:ascii="仿宋" w:hAnsi="仿宋" w:eastAsia="仿宋" w:cs="宋体"/>
          <w:kern w:val="0"/>
          <w:sz w:val="32"/>
          <w:szCs w:val="32"/>
        </w:rPr>
      </w:pPr>
      <w:r>
        <w:rPr>
          <w:rFonts w:hint="eastAsia" w:ascii="仿宋" w:hAnsi="仿宋" w:eastAsia="仿宋" w:cs="宋体"/>
          <w:kern w:val="0"/>
          <w:sz w:val="32"/>
          <w:szCs w:val="32"/>
        </w:rPr>
        <w:t xml:space="preserve">  （三）工作活动(项目)基本情况。</w:t>
      </w:r>
    </w:p>
    <w:p>
      <w:pPr>
        <w:widowControl/>
        <w:ind w:firstLine="470" w:firstLineChars="147"/>
        <w:rPr>
          <w:rFonts w:ascii="仿宋" w:hAnsi="仿宋" w:eastAsia="仿宋" w:cs="宋体"/>
          <w:kern w:val="0"/>
          <w:sz w:val="32"/>
          <w:szCs w:val="32"/>
        </w:rPr>
      </w:pPr>
      <w:r>
        <w:rPr>
          <w:rFonts w:hint="eastAsia" w:ascii="仿宋" w:hAnsi="仿宋" w:eastAsia="仿宋" w:cs="宋体"/>
          <w:kern w:val="0"/>
          <w:sz w:val="32"/>
          <w:szCs w:val="32"/>
        </w:rPr>
        <w:t>魏家庄镇共有两委干部1</w:t>
      </w:r>
      <w:r>
        <w:rPr>
          <w:rFonts w:ascii="仿宋" w:hAnsi="仿宋" w:eastAsia="仿宋" w:cs="宋体"/>
          <w:kern w:val="0"/>
          <w:sz w:val="32"/>
          <w:szCs w:val="32"/>
        </w:rPr>
        <w:t>0</w:t>
      </w:r>
      <w:r>
        <w:rPr>
          <w:rFonts w:hint="eastAsia" w:ascii="仿宋" w:hAnsi="仿宋" w:eastAsia="仿宋" w:cs="宋体"/>
          <w:kern w:val="0"/>
          <w:sz w:val="32"/>
          <w:szCs w:val="32"/>
          <w:lang w:val="en-US" w:eastAsia="zh-CN"/>
        </w:rPr>
        <w:t>8</w:t>
      </w:r>
      <w:r>
        <w:rPr>
          <w:rFonts w:hint="eastAsia" w:ascii="仿宋" w:hAnsi="仿宋" w:eastAsia="仿宋" w:cs="宋体"/>
          <w:kern w:val="0"/>
          <w:sz w:val="32"/>
          <w:szCs w:val="32"/>
        </w:rPr>
        <w:t>人，2021年列支村干部补贴共</w:t>
      </w:r>
      <w:r>
        <w:rPr>
          <w:rFonts w:hint="eastAsia" w:ascii="仿宋" w:hAnsi="仿宋" w:eastAsia="仿宋" w:cs="宋体"/>
          <w:kern w:val="0"/>
          <w:sz w:val="32"/>
          <w:szCs w:val="32"/>
          <w:lang w:val="en-US" w:eastAsia="zh-CN"/>
        </w:rPr>
        <w:t>229</w:t>
      </w:r>
      <w:r>
        <w:rPr>
          <w:rFonts w:hint="eastAsia" w:ascii="仿宋" w:hAnsi="仿宋" w:eastAsia="仿宋" w:cs="宋体"/>
          <w:kern w:val="0"/>
          <w:sz w:val="32"/>
          <w:szCs w:val="32"/>
        </w:rPr>
        <w:t>万元，用于</w:t>
      </w:r>
      <w:r>
        <w:rPr>
          <w:rFonts w:ascii="仿宋" w:hAnsi="仿宋" w:eastAsia="仿宋" w:cs="宋体"/>
          <w:kern w:val="0"/>
          <w:sz w:val="32"/>
          <w:szCs w:val="32"/>
        </w:rPr>
        <w:t>2</w:t>
      </w:r>
      <w:r>
        <w:rPr>
          <w:rFonts w:hint="eastAsia" w:ascii="仿宋" w:hAnsi="仿宋" w:eastAsia="仿宋" w:cs="宋体"/>
          <w:kern w:val="0"/>
          <w:sz w:val="32"/>
          <w:szCs w:val="32"/>
          <w:lang w:val="en-US" w:eastAsia="zh-CN"/>
        </w:rPr>
        <w:t>3</w:t>
      </w:r>
      <w:r>
        <w:rPr>
          <w:rFonts w:hint="eastAsia" w:ascii="仿宋" w:hAnsi="仿宋" w:eastAsia="仿宋" w:cs="宋体"/>
          <w:kern w:val="0"/>
          <w:sz w:val="32"/>
          <w:szCs w:val="32"/>
        </w:rPr>
        <w:t>个村村两委干部的补贴发放，保证村支两委补贴待遇，确保村事务正常运转和发展农村经济和社</w:t>
      </w:r>
      <w:bookmarkStart w:id="0" w:name="_GoBack"/>
      <w:bookmarkEnd w:id="0"/>
      <w:r>
        <w:rPr>
          <w:rFonts w:hint="eastAsia" w:ascii="仿宋" w:hAnsi="仿宋" w:eastAsia="仿宋" w:cs="宋体"/>
          <w:kern w:val="0"/>
          <w:sz w:val="32"/>
          <w:szCs w:val="32"/>
        </w:rPr>
        <w:t>会各项事业。</w:t>
      </w:r>
    </w:p>
    <w:p>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二、工作活动(项目)绩效目标和指标设定情况</w:t>
      </w:r>
    </w:p>
    <w:p>
      <w:pPr>
        <w:widowControl/>
        <w:rPr>
          <w:rFonts w:ascii="仿宋" w:hAnsi="仿宋" w:eastAsia="仿宋" w:cs="宋体"/>
          <w:kern w:val="0"/>
          <w:sz w:val="32"/>
          <w:szCs w:val="32"/>
        </w:rPr>
      </w:pPr>
      <w:r>
        <w:rPr>
          <w:rFonts w:hint="eastAsia" w:ascii="仿宋" w:hAnsi="仿宋" w:eastAsia="仿宋" w:cs="宋体"/>
          <w:kern w:val="0"/>
          <w:sz w:val="32"/>
          <w:szCs w:val="32"/>
        </w:rPr>
        <w:t xml:space="preserve"> （一）工作活动(项目)总目标、年度目标设定情况。</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考核采取百分制，对村“两委”干部进行量化考核。绩效考核由工作实绩考核(80%)、民主测评情况得分(20%)和加、减分三部分组成。</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1、“两委”班子团结协调，战斗堡垒作用强(2分)。闹无原则纠纷，影响村集体正常开展工作的扣2分。</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2、遵守党风政纪，无违法违纪现象(2分)。出现一例党员干部违纪违法现象的扣1分，直止扣完。</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3、坚持党内生活制度，党内活动正常，按规定组织召开各类会议并有记录(2分)。各类活动、会议无记录的扣1分;未按要求开展活动及召开会议的扣2分。</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4、认真开展“四议两公开”工作法(5分)。村集体重大事项必须严格按照“四议两公开”工作法开展，且程序规村干部考核办法范，记录齐全，记录不齐的扣2分，没有按要求公示的扣1分，扣完为止。</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5、远程教育按要求开展，配发的各类电教设备保存完好，并发挥作用(2分)。未按要求收看并记录的扣1分，未发挥作用的扣2分。</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 xml:space="preserve">6、党员发展工作有计划、有步骤，并做到规范化(2分)。出现一例党员发展不规范的扣1分;未及时培养入党积极分子的扣1分;出现三年未发展现象的扣5分。 </w:t>
      </w:r>
    </w:p>
    <w:p>
      <w:pPr>
        <w:widowControl/>
        <w:rPr>
          <w:rFonts w:ascii="仿宋" w:hAnsi="仿宋" w:eastAsia="仿宋" w:cs="宋体"/>
          <w:kern w:val="0"/>
          <w:sz w:val="32"/>
          <w:szCs w:val="32"/>
        </w:rPr>
      </w:pPr>
      <w:r>
        <w:rPr>
          <w:rFonts w:hint="eastAsia" w:ascii="仿宋" w:hAnsi="仿宋" w:eastAsia="仿宋" w:cs="宋体"/>
          <w:kern w:val="0"/>
          <w:sz w:val="32"/>
          <w:szCs w:val="32"/>
        </w:rPr>
        <w:t>（二）工作活动(项目)绩效指标设定情况。</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每年底考核一次，由镇党委牵头，有关领导带队，抽调相关部门人员组成考核组，深入各村通过采取听汇报、实地查看、民主测评、民意调查等形式，对照考核内容逐项逐条进行量化打分，全面准确地了解和掌握村干部一年来的工作实绩，并拿出考核意见，研究决定。</w:t>
      </w:r>
    </w:p>
    <w:p>
      <w:pPr>
        <w:widowControl/>
        <w:rPr>
          <w:rFonts w:ascii="仿宋" w:hAnsi="仿宋" w:eastAsia="仿宋" w:cs="宋体"/>
          <w:kern w:val="0"/>
          <w:sz w:val="32"/>
          <w:szCs w:val="32"/>
        </w:rPr>
      </w:pPr>
      <w:r>
        <w:rPr>
          <w:rFonts w:hint="eastAsia" w:ascii="仿宋" w:hAnsi="仿宋" w:eastAsia="仿宋" w:cs="宋体"/>
          <w:kern w:val="0"/>
          <w:sz w:val="32"/>
          <w:szCs w:val="32"/>
        </w:rPr>
        <w:t>（三）调整情况。</w:t>
      </w:r>
    </w:p>
    <w:p>
      <w:pPr>
        <w:widowControl/>
        <w:rPr>
          <w:rFonts w:ascii="仿宋" w:hAnsi="仿宋" w:eastAsia="仿宋" w:cs="宋体"/>
          <w:kern w:val="0"/>
          <w:sz w:val="32"/>
          <w:szCs w:val="32"/>
        </w:rPr>
      </w:pPr>
      <w:r>
        <w:rPr>
          <w:rFonts w:hint="eastAsia" w:ascii="仿宋" w:hAnsi="仿宋" w:eastAsia="仿宋" w:cs="宋体"/>
          <w:kern w:val="0"/>
          <w:sz w:val="32"/>
          <w:szCs w:val="32"/>
        </w:rPr>
        <w:t xml:space="preserve"> </w:t>
      </w:r>
      <w:r>
        <w:rPr>
          <w:rFonts w:ascii="仿宋" w:hAnsi="仿宋" w:eastAsia="仿宋" w:cs="宋体"/>
          <w:kern w:val="0"/>
          <w:sz w:val="32"/>
          <w:szCs w:val="32"/>
        </w:rPr>
        <w:t xml:space="preserve">  </w:t>
      </w:r>
      <w:r>
        <w:rPr>
          <w:rFonts w:hint="eastAsia" w:ascii="仿宋" w:hAnsi="仿宋" w:eastAsia="仿宋" w:cs="宋体"/>
          <w:kern w:val="0"/>
          <w:sz w:val="32"/>
          <w:szCs w:val="32"/>
        </w:rPr>
        <w:t>无调整。</w:t>
      </w:r>
    </w:p>
    <w:p>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三、工作活动(项目)实施绩效管理情况及取得成绩</w:t>
      </w:r>
    </w:p>
    <w:p>
      <w:pPr>
        <w:widowControl/>
        <w:ind w:left="105" w:leftChars="50"/>
        <w:rPr>
          <w:rFonts w:ascii="黑体" w:hAnsi="黑体" w:eastAsia="黑体" w:cs="宋体"/>
          <w:b/>
          <w:bCs/>
          <w:kern w:val="0"/>
          <w:sz w:val="32"/>
          <w:szCs w:val="32"/>
        </w:rPr>
      </w:pPr>
      <w:r>
        <w:rPr>
          <w:rFonts w:hint="eastAsia" w:ascii="仿宋" w:hAnsi="仿宋" w:eastAsia="仿宋" w:cs="宋体"/>
          <w:kern w:val="0"/>
          <w:sz w:val="32"/>
          <w:szCs w:val="32"/>
        </w:rPr>
        <w:t>（一）计划制定和落实情况。</w:t>
      </w:r>
    </w:p>
    <w:p>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为了按照统一规则和标准实施评价工作，更加准确地反映项目单位的绩效实际情况，我们将综合绩效评价级别分为4个等级。具体评价等级分类如下：</w:t>
      </w:r>
    </w:p>
    <w:p>
      <w:pPr>
        <w:widowControl/>
        <w:ind w:left="320"/>
        <w:jc w:val="center"/>
        <w:rPr>
          <w:rFonts w:ascii="仿宋" w:hAnsi="仿宋" w:eastAsia="仿宋" w:cs="宋体"/>
          <w:kern w:val="0"/>
          <w:sz w:val="32"/>
          <w:szCs w:val="32"/>
        </w:rPr>
      </w:pPr>
      <w:r>
        <w:rPr>
          <w:rFonts w:hint="eastAsia" w:ascii="仿宋" w:hAnsi="仿宋" w:eastAsia="仿宋" w:cs="宋体"/>
          <w:kern w:val="0"/>
          <w:sz w:val="32"/>
          <w:szCs w:val="32"/>
        </w:rPr>
        <w:t>绩效评价等级分类表</w:t>
      </w:r>
    </w:p>
    <w:tbl>
      <w:tblPr>
        <w:tblStyle w:val="4"/>
        <w:tblW w:w="8431" w:type="dxa"/>
        <w:tblInd w:w="0" w:type="dxa"/>
        <w:tblLayout w:type="fixed"/>
        <w:tblCellMar>
          <w:top w:w="0" w:type="dxa"/>
          <w:left w:w="0" w:type="dxa"/>
          <w:bottom w:w="0" w:type="dxa"/>
          <w:right w:w="0" w:type="dxa"/>
        </w:tblCellMar>
      </w:tblPr>
      <w:tblGrid>
        <w:gridCol w:w="1437"/>
        <w:gridCol w:w="2105"/>
        <w:gridCol w:w="1807"/>
        <w:gridCol w:w="1413"/>
        <w:gridCol w:w="1669"/>
      </w:tblGrid>
      <w:tr>
        <w:tblPrEx>
          <w:tblCellMar>
            <w:top w:w="0" w:type="dxa"/>
            <w:left w:w="0" w:type="dxa"/>
            <w:bottom w:w="0" w:type="dxa"/>
            <w:right w:w="0" w:type="dxa"/>
          </w:tblCellMar>
        </w:tblPrEx>
        <w:trPr>
          <w:trHeight w:val="440" w:hRule="atLeast"/>
        </w:trPr>
        <w:tc>
          <w:tcPr>
            <w:tcW w:w="1437"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项目</w:t>
            </w:r>
          </w:p>
        </w:tc>
        <w:tc>
          <w:tcPr>
            <w:tcW w:w="210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优</w:t>
            </w:r>
          </w:p>
        </w:tc>
        <w:tc>
          <w:tcPr>
            <w:tcW w:w="180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良</w:t>
            </w:r>
          </w:p>
        </w:tc>
        <w:tc>
          <w:tcPr>
            <w:tcW w:w="1413" w:type="dxa"/>
            <w:tcBorders>
              <w:top w:val="single" w:color="000000" w:sz="8" w:space="0"/>
              <w:left w:val="nil"/>
              <w:bottom w:val="single" w:color="000000" w:sz="8" w:space="0"/>
              <w:right w:val="nil"/>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中</w:t>
            </w:r>
          </w:p>
        </w:tc>
        <w:tc>
          <w:tcPr>
            <w:tcW w:w="166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差</w:t>
            </w:r>
          </w:p>
        </w:tc>
      </w:tr>
      <w:tr>
        <w:tblPrEx>
          <w:tblCellMar>
            <w:top w:w="0" w:type="dxa"/>
            <w:left w:w="0" w:type="dxa"/>
            <w:bottom w:w="0" w:type="dxa"/>
            <w:right w:w="0" w:type="dxa"/>
          </w:tblCellMar>
        </w:tblPrEx>
        <w:trPr>
          <w:trHeight w:val="405" w:hRule="atLeast"/>
        </w:trPr>
        <w:tc>
          <w:tcPr>
            <w:tcW w:w="1437"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分值</w:t>
            </w:r>
          </w:p>
        </w:tc>
        <w:tc>
          <w:tcPr>
            <w:tcW w:w="2105"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≥1</w:t>
            </w:r>
            <w:r>
              <w:rPr>
                <w:rStyle w:val="9"/>
                <w:rFonts w:hint="default" w:ascii="宋体" w:hAnsi="宋体" w:eastAsia="宋体"/>
                <w:sz w:val="32"/>
                <w:szCs w:val="32"/>
                <w:lang w:bidi="ar"/>
              </w:rPr>
              <w:t>00%</w:t>
            </w:r>
          </w:p>
        </w:tc>
        <w:tc>
          <w:tcPr>
            <w:tcW w:w="1807" w:type="dxa"/>
            <w:tcBorders>
              <w:top w:val="nil"/>
              <w:left w:val="nil"/>
              <w:bottom w:val="single" w:color="000000" w:sz="8" w:space="0"/>
              <w:right w:val="single" w:color="000000" w:sz="8" w:space="0"/>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9</w:t>
            </w:r>
            <w:r>
              <w:rPr>
                <w:rFonts w:ascii="宋体" w:hAnsi="宋体" w:eastAsia="宋体"/>
                <w:kern w:val="0"/>
                <w:sz w:val="32"/>
                <w:szCs w:val="32"/>
              </w:rPr>
              <w:t>0%-99%</w:t>
            </w:r>
          </w:p>
        </w:tc>
        <w:tc>
          <w:tcPr>
            <w:tcW w:w="1413" w:type="dxa"/>
            <w:tcBorders>
              <w:top w:val="nil"/>
              <w:left w:val="nil"/>
              <w:bottom w:val="single" w:color="000000" w:sz="8" w:space="0"/>
              <w:right w:val="nil"/>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8</w:t>
            </w:r>
            <w:r>
              <w:rPr>
                <w:rFonts w:ascii="宋体" w:hAnsi="宋体" w:eastAsia="宋体"/>
                <w:kern w:val="0"/>
                <w:sz w:val="32"/>
                <w:szCs w:val="32"/>
              </w:rPr>
              <w:t>0%-89%</w:t>
            </w:r>
          </w:p>
        </w:tc>
        <w:tc>
          <w:tcPr>
            <w:tcW w:w="166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&lt;80%</w:t>
            </w:r>
          </w:p>
        </w:tc>
      </w:tr>
    </w:tbl>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（二）执行绩效监控情况。</w:t>
      </w:r>
    </w:p>
    <w:p>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按照项目总体目标和年度目标，制定详细可行的工作活动(项目)实施计划，并按节点推进落实，健全完善相关制度。预算批复后，我单位及时制定细化绩效目标，全力推进项目实施，配合县财政部门认真进行项目绩效监控，收集并分析绩效信息，强化绩效管理，确保绩效运行全程可控。</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（三）资金管理情况。</w:t>
      </w:r>
    </w:p>
    <w:p>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项目资金全部为县级资金，已全部到位。项目实施后，资金实际支出100%。</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（四）绩效管理制度建设及执行情况。</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 xml:space="preserve"> </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认真落实上级绩效管理相关制度，细化内控制度，强化管理执行，确保严格落实到位。</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（五）风险管理情况。</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 xml:space="preserve"> </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建立风险评估机制，成立风险评估小组，对项目活动存在的风险进行全面、系统和客观评估，实施监督项目进展。</w:t>
      </w:r>
    </w:p>
    <w:p>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四、工作活动(项目)绩效自评情况</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（一）工作活动(项目)自评组织情况。</w:t>
      </w:r>
    </w:p>
    <w:p>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成立了由单位主管领导任组长，单位财务科室主管任副组长财务工作人员为成员的</w:t>
      </w:r>
      <w:r>
        <w:rPr>
          <w:rFonts w:ascii="仿宋" w:hAnsi="仿宋" w:eastAsia="仿宋" w:cs="宋体"/>
          <w:color w:val="000000"/>
          <w:kern w:val="0"/>
          <w:sz w:val="32"/>
          <w:szCs w:val="32"/>
        </w:rPr>
        <w:t>4</w:t>
      </w:r>
      <w:r>
        <w:rPr>
          <w:rFonts w:hint="eastAsia" w:ascii="仿宋" w:hAnsi="仿宋" w:eastAsia="仿宋" w:cs="宋体"/>
          <w:color w:val="000000"/>
          <w:kern w:val="0"/>
          <w:sz w:val="32"/>
          <w:szCs w:val="32"/>
        </w:rPr>
        <w:t>人工作项目自评小组，负责项目的绩效自评，确保自评工作的客观、真实、全面。</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（二）工作活动(项目)评价结果。</w:t>
      </w:r>
    </w:p>
    <w:p>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根据相关要求，对照绩效目标和相关指标，经认真自评，该项目得分100分，属于优秀等次。</w:t>
      </w:r>
    </w:p>
    <w:p>
      <w:pPr>
        <w:widowControl/>
        <w:ind w:firstLine="312" w:firstLineChars="97"/>
        <w:rPr>
          <w:rFonts w:ascii="黑体" w:hAnsi="黑体" w:eastAsia="黑体" w:cs="宋体"/>
          <w:b/>
          <w:bCs/>
          <w:kern w:val="0"/>
          <w:sz w:val="32"/>
          <w:szCs w:val="32"/>
        </w:rPr>
      </w:pPr>
      <w:r>
        <w:rPr>
          <w:rFonts w:hint="eastAsia" w:ascii="黑体" w:hAnsi="黑体" w:eastAsia="黑体" w:cs="宋体"/>
          <w:b/>
          <w:bCs/>
          <w:kern w:val="0"/>
          <w:sz w:val="32"/>
          <w:szCs w:val="32"/>
        </w:rPr>
        <w:t>五、工作活动(项目)存在的问题、改进工作的意见及建议</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（一）工作活动(项目)实现绩效目标过程中存在的问题。</w:t>
      </w:r>
    </w:p>
    <w:p>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在职村干部补贴资金考核不及时，奖罚力度小，部分村村两位干部存在消极心理，村级事务处理缓慢。</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（二）工作活动(项目)实施中改进意见及措施。</w:t>
      </w:r>
    </w:p>
    <w:p>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突出问题导向和结果导向，一是坚持政府领导，统一思想，进一步强化两委干部责任意识，支部书记负总责，两委干部具体落实，层层传导压力，强化工作合力，协调联动落实。二是健全完善工作机制，进一明确两委干部职责和年度目标，实行定期调度推进制度。三是加强两委干部的法律法规和业务知识培训学习，提升工作能力和素质，积极打造过硬的农村两委班子。</w:t>
      </w:r>
    </w:p>
    <w:p>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（三）建议。</w:t>
      </w:r>
    </w:p>
    <w:p>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一是县财政部门加大对绩效预算管理改革和绩效自评相关内容学习培训，进一步各单位提升工作人员绩效评价业务水平，促进高质量财政建设。</w:t>
      </w:r>
    </w:p>
    <w:p>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二是提高资金执行率。按规定开展实施村级转移支付项目，加强实施部门预算编制管理工作，如有变更及时上报调整，按时按量完成资金拨付，提高预算资金的针对性和有效性。</w:t>
      </w:r>
    </w:p>
    <w:p>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三是严格执行资金申报，强化资金保障。规范项目申报管理，严格要求项目申报单位按规定提供申报材料、填报项目绩效目标，对不合规的项目申报材料不予受理。</w:t>
      </w:r>
    </w:p>
    <w:p>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四是加强绩效评价力度，提高资金使用效益根据非税收入资金项目的特点，研究制定更为科学、合理的绩效指标体系，有针对性地加强对非税收入资金项目执行和经费使用情况的绩效评价考核，促进项目按要求出成果、出效益。</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874EA3"/>
    <w:multiLevelType w:val="multilevel"/>
    <w:tmpl w:val="13874EA3"/>
    <w:lvl w:ilvl="0" w:tentative="0">
      <w:start w:val="1"/>
      <w:numFmt w:val="japaneseCounting"/>
      <w:lvlText w:val="%1、"/>
      <w:lvlJc w:val="left"/>
      <w:pPr>
        <w:ind w:left="1192" w:hanging="720"/>
      </w:pPr>
      <w:rPr>
        <w:rFonts w:hint="default"/>
      </w:rPr>
    </w:lvl>
    <w:lvl w:ilvl="1" w:tentative="0">
      <w:start w:val="1"/>
      <w:numFmt w:val="lowerLetter"/>
      <w:lvlText w:val="%2)"/>
      <w:lvlJc w:val="left"/>
      <w:pPr>
        <w:ind w:left="1312" w:hanging="420"/>
      </w:pPr>
    </w:lvl>
    <w:lvl w:ilvl="2" w:tentative="0">
      <w:start w:val="1"/>
      <w:numFmt w:val="lowerRoman"/>
      <w:lvlText w:val="%3."/>
      <w:lvlJc w:val="right"/>
      <w:pPr>
        <w:ind w:left="1732" w:hanging="420"/>
      </w:pPr>
    </w:lvl>
    <w:lvl w:ilvl="3" w:tentative="0">
      <w:start w:val="1"/>
      <w:numFmt w:val="decimal"/>
      <w:lvlText w:val="%4."/>
      <w:lvlJc w:val="left"/>
      <w:pPr>
        <w:ind w:left="2152" w:hanging="420"/>
      </w:pPr>
    </w:lvl>
    <w:lvl w:ilvl="4" w:tentative="0">
      <w:start w:val="1"/>
      <w:numFmt w:val="lowerLetter"/>
      <w:lvlText w:val="%5)"/>
      <w:lvlJc w:val="left"/>
      <w:pPr>
        <w:ind w:left="2572" w:hanging="420"/>
      </w:pPr>
    </w:lvl>
    <w:lvl w:ilvl="5" w:tentative="0">
      <w:start w:val="1"/>
      <w:numFmt w:val="lowerRoman"/>
      <w:lvlText w:val="%6."/>
      <w:lvlJc w:val="right"/>
      <w:pPr>
        <w:ind w:left="2992" w:hanging="420"/>
      </w:pPr>
    </w:lvl>
    <w:lvl w:ilvl="6" w:tentative="0">
      <w:start w:val="1"/>
      <w:numFmt w:val="decimal"/>
      <w:lvlText w:val="%7."/>
      <w:lvlJc w:val="left"/>
      <w:pPr>
        <w:ind w:left="3412" w:hanging="420"/>
      </w:pPr>
    </w:lvl>
    <w:lvl w:ilvl="7" w:tentative="0">
      <w:start w:val="1"/>
      <w:numFmt w:val="lowerLetter"/>
      <w:lvlText w:val="%8)"/>
      <w:lvlJc w:val="left"/>
      <w:pPr>
        <w:ind w:left="3832" w:hanging="420"/>
      </w:pPr>
    </w:lvl>
    <w:lvl w:ilvl="8" w:tentative="0">
      <w:start w:val="1"/>
      <w:numFmt w:val="lowerRoman"/>
      <w:lvlText w:val="%9."/>
      <w:lvlJc w:val="right"/>
      <w:pPr>
        <w:ind w:left="425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C047EA"/>
    <w:rsid w:val="000B6188"/>
    <w:rsid w:val="000F4044"/>
    <w:rsid w:val="001D2EAA"/>
    <w:rsid w:val="002C71AF"/>
    <w:rsid w:val="002E23D3"/>
    <w:rsid w:val="0032778B"/>
    <w:rsid w:val="0036746E"/>
    <w:rsid w:val="003B0DDC"/>
    <w:rsid w:val="00452E2F"/>
    <w:rsid w:val="00476898"/>
    <w:rsid w:val="00566AF9"/>
    <w:rsid w:val="00574E7A"/>
    <w:rsid w:val="0058118E"/>
    <w:rsid w:val="00584A12"/>
    <w:rsid w:val="00661BB7"/>
    <w:rsid w:val="006A012B"/>
    <w:rsid w:val="006C0284"/>
    <w:rsid w:val="00732C10"/>
    <w:rsid w:val="00767F1C"/>
    <w:rsid w:val="0078532C"/>
    <w:rsid w:val="007A1805"/>
    <w:rsid w:val="008E0144"/>
    <w:rsid w:val="009E7E4A"/>
    <w:rsid w:val="00A17715"/>
    <w:rsid w:val="00B00B19"/>
    <w:rsid w:val="00B05C53"/>
    <w:rsid w:val="00C047EA"/>
    <w:rsid w:val="00C422D3"/>
    <w:rsid w:val="00C569E2"/>
    <w:rsid w:val="00C91487"/>
    <w:rsid w:val="00CA039D"/>
    <w:rsid w:val="00CA444D"/>
    <w:rsid w:val="00D369D7"/>
    <w:rsid w:val="00D4578E"/>
    <w:rsid w:val="00E160B9"/>
    <w:rsid w:val="00F53551"/>
    <w:rsid w:val="00F96E1F"/>
    <w:rsid w:val="00FC3534"/>
    <w:rsid w:val="00FE09BC"/>
    <w:rsid w:val="177C04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uiPriority w:val="99"/>
    <w:rPr>
      <w:sz w:val="18"/>
      <w:szCs w:val="18"/>
    </w:rPr>
  </w:style>
  <w:style w:type="character" w:customStyle="1" w:styleId="7">
    <w:name w:val="页脚 字符"/>
    <w:basedOn w:val="5"/>
    <w:link w:val="2"/>
    <w:uiPriority w:val="99"/>
    <w:rPr>
      <w:sz w:val="18"/>
      <w:szCs w:val="18"/>
    </w:rPr>
  </w:style>
  <w:style w:type="paragraph" w:styleId="8">
    <w:name w:val="List Paragraph"/>
    <w:basedOn w:val="1"/>
    <w:qFormat/>
    <w:uiPriority w:val="34"/>
    <w:pPr>
      <w:ind w:firstLine="420" w:firstLineChars="200"/>
    </w:pPr>
  </w:style>
  <w:style w:type="character" w:customStyle="1" w:styleId="9">
    <w:name w:val="font41"/>
    <w:qFormat/>
    <w:uiPriority w:val="0"/>
    <w:rPr>
      <w:rFonts w:hint="eastAsia" w:ascii="仿宋" w:hAnsi="仿宋" w:eastAsia="仿宋" w:cs="仿宋"/>
      <w:color w:val="000000"/>
      <w:sz w:val="24"/>
      <w:szCs w:val="24"/>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404</Words>
  <Characters>2304</Characters>
  <Lines>19</Lines>
  <Paragraphs>5</Paragraphs>
  <TotalTime>128</TotalTime>
  <ScaleCrop>false</ScaleCrop>
  <LinksUpToDate>false</LinksUpToDate>
  <CharactersWithSpaces>2703</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2022-03-02T02:51:00Z</dcterms:created>
  <dc:creator>lenovo</dc:creator>
  <cp:lastModifiedBy>yangbo</cp:lastModifiedBy>
  <cp:lastPrinted>2022-03-03T03:27:00Z</cp:lastPrinted>
  <dcterms:modified xsi:type="dcterms:W3CDTF">2022-04-08T02:21:27Z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7493DB213EE1451E888A4F299F20421D</vt:lpwstr>
  </property>
</Properties>
</file>