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宋体" w:hAnsi="宋体" w:eastAsia="宋体" w:cs="宋体"/>
          <w:b/>
          <w:bCs/>
          <w:kern w:val="0"/>
          <w:sz w:val="44"/>
          <w:szCs w:val="44"/>
        </w:rPr>
      </w:pP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w:t>
      </w:r>
      <w:r>
        <w:rPr>
          <w:rFonts w:hint="eastAsia" w:ascii="宋体" w:hAnsi="宋体" w:eastAsia="宋体" w:cs="宋体"/>
          <w:b/>
          <w:bCs/>
          <w:kern w:val="0"/>
          <w:sz w:val="44"/>
          <w:szCs w:val="44"/>
          <w:lang w:eastAsia="zh-CN"/>
        </w:rPr>
        <w:t>莲子镇</w:t>
      </w:r>
      <w:r>
        <w:rPr>
          <w:rFonts w:hint="eastAsia" w:ascii="宋体" w:hAnsi="宋体" w:eastAsia="宋体" w:cs="宋体"/>
          <w:b/>
          <w:bCs/>
          <w:kern w:val="0"/>
          <w:sz w:val="44"/>
          <w:szCs w:val="44"/>
        </w:rPr>
        <w:t>镇人民政府</w:t>
      </w: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w:t>
      </w:r>
      <w:r>
        <w:rPr>
          <w:rFonts w:hint="eastAsia" w:ascii="宋体" w:hAnsi="宋体" w:eastAsia="宋体" w:cs="宋体"/>
          <w:b/>
          <w:bCs/>
          <w:kern w:val="0"/>
          <w:sz w:val="44"/>
          <w:szCs w:val="44"/>
          <w:lang w:eastAsia="zh-CN"/>
        </w:rPr>
        <w:t>莲子镇镇东闫庄革命老区</w:t>
      </w:r>
      <w:r>
        <w:rPr>
          <w:rFonts w:hint="eastAsia" w:ascii="宋体" w:hAnsi="宋体" w:eastAsia="宋体" w:cs="宋体"/>
          <w:b/>
          <w:bCs/>
          <w:kern w:val="0"/>
          <w:sz w:val="44"/>
          <w:szCs w:val="44"/>
        </w:rPr>
        <w:t>项目绩效评价自评报告</w:t>
      </w:r>
    </w:p>
    <w:p>
      <w:pPr>
        <w:widowControl/>
        <w:rPr>
          <w:rFonts w:ascii="黑体" w:hAnsi="黑体" w:eastAsia="黑体" w:cs="宋体"/>
          <w:b/>
          <w:bCs/>
          <w:kern w:val="0"/>
          <w:sz w:val="44"/>
          <w:szCs w:val="44"/>
        </w:rPr>
      </w:pPr>
    </w:p>
    <w:p>
      <w:pPr>
        <w:pStyle w:val="8"/>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pPr>
        <w:widowControl/>
        <w:rPr>
          <w:rFonts w:cs="宋体" w:asciiTheme="minorEastAsia" w:hAnsiTheme="minorEastAsia"/>
          <w:kern w:val="0"/>
          <w:sz w:val="32"/>
          <w:szCs w:val="32"/>
        </w:rPr>
      </w:pPr>
      <w:r>
        <w:rPr>
          <w:rFonts w:hint="eastAsia" w:cs="宋体" w:asciiTheme="minorEastAsia" w:hAnsiTheme="minorEastAsia"/>
          <w:kern w:val="0"/>
          <w:sz w:val="32"/>
          <w:szCs w:val="32"/>
        </w:rPr>
        <w:t xml:space="preserve">  </w:t>
      </w:r>
      <w:r>
        <w:rPr>
          <w:rFonts w:cs="宋体" w:asciiTheme="minorEastAsia" w:hAnsiTheme="minorEastAsia"/>
          <w:kern w:val="0"/>
          <w:sz w:val="32"/>
          <w:szCs w:val="32"/>
        </w:rPr>
        <w:t xml:space="preserve"> </w:t>
      </w:r>
      <w:r>
        <w:rPr>
          <w:rFonts w:hint="eastAsia" w:ascii="仿宋" w:hAnsi="仿宋" w:eastAsia="仿宋" w:cs="宋体"/>
          <w:kern w:val="0"/>
          <w:sz w:val="32"/>
          <w:szCs w:val="32"/>
        </w:rPr>
        <w:t>本项目根据冀财预[2020]72号文件精神下达</w:t>
      </w:r>
      <w:r>
        <w:rPr>
          <w:rFonts w:hint="eastAsia" w:ascii="仿宋" w:hAnsi="仿宋" w:eastAsia="仿宋" w:cs="宋体"/>
          <w:kern w:val="0"/>
          <w:sz w:val="32"/>
          <w:szCs w:val="32"/>
          <w:lang w:val="en-US" w:eastAsia="zh-CN"/>
        </w:rPr>
        <w:t>148</w:t>
      </w:r>
      <w:r>
        <w:rPr>
          <w:rFonts w:hint="eastAsia" w:ascii="仿宋" w:hAnsi="仿宋" w:eastAsia="仿宋" w:cs="宋体"/>
          <w:kern w:val="0"/>
          <w:sz w:val="32"/>
          <w:szCs w:val="32"/>
        </w:rPr>
        <w:t>万省补资金。此项目列入2021年相应支出功能分类和支出经济分类科目，并纳入中央财政直达资金监控系统全程监测。</w:t>
      </w:r>
    </w:p>
    <w:p>
      <w:pPr>
        <w:widowControl/>
        <w:rPr>
          <w:rFonts w:ascii="仿宋" w:hAnsi="仿宋" w:eastAsia="仿宋" w:cs="宋体"/>
          <w:kern w:val="0"/>
          <w:sz w:val="32"/>
          <w:szCs w:val="32"/>
        </w:rPr>
      </w:pPr>
      <w:r>
        <w:rPr>
          <w:rFonts w:hint="eastAsia" w:cs="宋体" w:asciiTheme="minorEastAsia" w:hAnsiTheme="minorEastAsia"/>
          <w:kern w:val="0"/>
          <w:sz w:val="32"/>
          <w:szCs w:val="32"/>
        </w:rPr>
        <w:t>（</w:t>
      </w:r>
      <w:r>
        <w:rPr>
          <w:rFonts w:hint="eastAsia" w:ascii="仿宋" w:hAnsi="仿宋" w:eastAsia="仿宋" w:cs="宋体"/>
          <w:kern w:val="0"/>
          <w:sz w:val="32"/>
          <w:szCs w:val="32"/>
        </w:rPr>
        <w:t>一）政府战略规划或目标。</w:t>
      </w:r>
      <w:bookmarkStart w:id="0" w:name="_GoBack"/>
      <w:bookmarkEnd w:id="0"/>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总目标：隆尧县</w:t>
      </w:r>
      <w:r>
        <w:rPr>
          <w:rFonts w:hint="eastAsia" w:ascii="仿宋" w:hAnsi="仿宋" w:eastAsia="仿宋" w:cs="宋体"/>
          <w:kern w:val="0"/>
          <w:sz w:val="32"/>
          <w:szCs w:val="32"/>
          <w:lang w:eastAsia="zh-CN"/>
        </w:rPr>
        <w:t>莲子镇镇</w:t>
      </w:r>
      <w:r>
        <w:rPr>
          <w:rFonts w:hint="eastAsia" w:ascii="仿宋" w:hAnsi="仿宋" w:eastAsia="仿宋" w:cs="宋体"/>
          <w:kern w:val="0"/>
          <w:sz w:val="32"/>
          <w:szCs w:val="32"/>
        </w:rPr>
        <w:t>人民政府为镇政府工作部门，机构规格正科级，位于隆尧县</w:t>
      </w:r>
      <w:r>
        <w:rPr>
          <w:rFonts w:hint="eastAsia" w:ascii="仿宋" w:hAnsi="仿宋" w:eastAsia="仿宋" w:cs="宋体"/>
          <w:kern w:val="0"/>
          <w:sz w:val="32"/>
          <w:szCs w:val="32"/>
          <w:lang w:eastAsia="zh-CN"/>
        </w:rPr>
        <w:t>莲子镇镇东范路口</w:t>
      </w:r>
      <w:r>
        <w:rPr>
          <w:rFonts w:hint="eastAsia" w:ascii="仿宋" w:hAnsi="仿宋" w:eastAsia="仿宋" w:cs="宋体"/>
          <w:kern w:val="0"/>
          <w:sz w:val="32"/>
          <w:szCs w:val="32"/>
        </w:rPr>
        <w:t>，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r>
        <w:rPr>
          <w:rFonts w:hint="eastAsia" w:ascii="仿宋" w:hAnsi="仿宋" w:eastAsia="仿宋" w:cs="宋体"/>
          <w:kern w:val="0"/>
          <w:sz w:val="32"/>
          <w:szCs w:val="32"/>
          <w:lang w:eastAsia="zh-CN"/>
        </w:rPr>
        <w:t>。</w:t>
      </w:r>
      <w:r>
        <w:rPr>
          <w:rFonts w:hint="eastAsia" w:ascii="仿宋" w:hAnsi="仿宋" w:eastAsia="仿宋" w:cs="宋体"/>
          <w:kern w:val="0"/>
          <w:sz w:val="32"/>
          <w:szCs w:val="32"/>
        </w:rPr>
        <w:t xml:space="preserve">  </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二、工作活动(项目)绩效目标和指标设定情况</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（一）工作活动(项目)总目标、年度目标设定情况。</w:t>
      </w:r>
    </w:p>
    <w:p>
      <w:pPr>
        <w:widowControl/>
        <w:ind w:firstLine="640" w:firstLineChars="200"/>
        <w:rPr>
          <w:rFonts w:hint="eastAsia" w:ascii="仿宋" w:hAnsi="仿宋" w:eastAsia="仿宋" w:cs="宋体"/>
          <w:kern w:val="0"/>
          <w:sz w:val="32"/>
          <w:szCs w:val="32"/>
          <w:lang w:eastAsia="zh-CN"/>
        </w:rPr>
      </w:pPr>
      <w:r>
        <w:rPr>
          <w:rFonts w:hint="eastAsia" w:ascii="仿宋" w:hAnsi="仿宋" w:eastAsia="仿宋" w:cs="宋体"/>
          <w:kern w:val="0"/>
          <w:sz w:val="32"/>
          <w:szCs w:val="32"/>
        </w:rPr>
        <w:t>总目标：项目建成后，</w:t>
      </w:r>
      <w:r>
        <w:rPr>
          <w:rFonts w:hint="eastAsia" w:ascii="仿宋" w:hAnsi="仿宋" w:eastAsia="仿宋" w:cs="宋体"/>
          <w:kern w:val="0"/>
          <w:sz w:val="32"/>
          <w:szCs w:val="32"/>
          <w:lang w:eastAsia="zh-CN"/>
        </w:rPr>
        <w:t>增加了百姓对红色文化的认识，加深了群众对红色精神的印象，有利于代代传承。</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年度目标：在规定时限内安置按进度完成项目施工。</w:t>
      </w:r>
    </w:p>
    <w:p>
      <w:pPr>
        <w:widowControl/>
        <w:rPr>
          <w:rFonts w:ascii="仿宋" w:hAnsi="仿宋" w:eastAsia="仿宋" w:cs="宋体"/>
          <w:kern w:val="0"/>
          <w:sz w:val="32"/>
          <w:szCs w:val="32"/>
        </w:rPr>
      </w:pPr>
      <w:r>
        <w:rPr>
          <w:rFonts w:hint="eastAsia" w:ascii="仿宋" w:hAnsi="仿宋" w:eastAsia="仿宋" w:cs="宋体"/>
          <w:kern w:val="0"/>
          <w:sz w:val="32"/>
          <w:szCs w:val="32"/>
        </w:rPr>
        <w:t>（二）工作活动(项目)绩效指标设定情况。</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绩效指标主要包括产出指标（数量指标、质量指标、时效指标）和效果指标（经济效益指标、社会效益指标、可持续发展效益指标）。</w:t>
      </w:r>
    </w:p>
    <w:p>
      <w:pPr>
        <w:widowControl/>
        <w:rPr>
          <w:rFonts w:ascii="仿宋" w:hAnsi="仿宋" w:eastAsia="仿宋" w:cs="宋体"/>
          <w:kern w:val="0"/>
          <w:sz w:val="32"/>
          <w:szCs w:val="32"/>
        </w:rPr>
      </w:pPr>
      <w:r>
        <w:rPr>
          <w:rFonts w:hint="eastAsia" w:ascii="仿宋" w:hAnsi="仿宋" w:eastAsia="仿宋" w:cs="宋体"/>
          <w:kern w:val="0"/>
          <w:sz w:val="32"/>
          <w:szCs w:val="32"/>
        </w:rPr>
        <w:t>（三）调整情况。</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无调整。</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pPr>
        <w:widowControl/>
        <w:ind w:left="105" w:leftChars="50"/>
        <w:rPr>
          <w:rFonts w:ascii="黑体" w:hAnsi="黑体" w:eastAsia="黑体" w:cs="宋体"/>
          <w:b/>
          <w:bCs/>
          <w:kern w:val="0"/>
          <w:sz w:val="32"/>
          <w:szCs w:val="32"/>
        </w:rPr>
      </w:pPr>
      <w:r>
        <w:rPr>
          <w:rFonts w:hint="eastAsia" w:ascii="仿宋" w:hAnsi="仿宋" w:eastAsia="仿宋" w:cs="宋体"/>
          <w:kern w:val="0"/>
          <w:sz w:val="32"/>
          <w:szCs w:val="32"/>
        </w:rPr>
        <w:t>（一）计划制定和落实情况。</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为了按照统一规则和标准实施评价工作，更加准确地反映项目单位的绩效实际情况，我们将综合绩效评价级别分为4个等级。具体评价等级分类如下：</w:t>
      </w:r>
    </w:p>
    <w:p>
      <w:pPr>
        <w:widowControl/>
        <w:ind w:left="320"/>
        <w:jc w:val="center"/>
        <w:rPr>
          <w:rFonts w:ascii="仿宋" w:hAnsi="仿宋" w:eastAsia="仿宋" w:cs="宋体"/>
          <w:kern w:val="0"/>
          <w:sz w:val="32"/>
          <w:szCs w:val="32"/>
        </w:rPr>
      </w:pPr>
      <w:r>
        <w:rPr>
          <w:rFonts w:hint="eastAsia" w:ascii="仿宋" w:hAnsi="仿宋" w:eastAsia="仿宋" w:cs="宋体"/>
          <w:kern w:val="0"/>
          <w:sz w:val="32"/>
          <w:szCs w:val="32"/>
        </w:rPr>
        <w:t>绩效评价等级分类表</w:t>
      </w:r>
    </w:p>
    <w:tbl>
      <w:tblPr>
        <w:tblStyle w:val="4"/>
        <w:tblW w:w="8431" w:type="dxa"/>
        <w:tblInd w:w="0" w:type="dxa"/>
        <w:tblLayout w:type="fixed"/>
        <w:tblCellMar>
          <w:top w:w="0" w:type="dxa"/>
          <w:left w:w="0" w:type="dxa"/>
          <w:bottom w:w="0" w:type="dxa"/>
          <w:right w:w="0" w:type="dxa"/>
        </w:tblCellMar>
      </w:tblPr>
      <w:tblGrid>
        <w:gridCol w:w="1437"/>
        <w:gridCol w:w="2105"/>
        <w:gridCol w:w="1807"/>
        <w:gridCol w:w="1413"/>
        <w:gridCol w:w="1669"/>
      </w:tblGrid>
      <w:tr>
        <w:tblPrEx>
          <w:tblCellMar>
            <w:top w:w="0" w:type="dxa"/>
            <w:left w:w="0" w:type="dxa"/>
            <w:bottom w:w="0" w:type="dxa"/>
            <w:right w:w="0" w:type="dxa"/>
          </w:tblCellMar>
        </w:tblPrEx>
        <w:trPr>
          <w:trHeight w:val="440" w:hRule="atLeast"/>
        </w:trPr>
        <w:tc>
          <w:tcPr>
            <w:tcW w:w="1437"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项目</w:t>
            </w:r>
          </w:p>
        </w:tc>
        <w:tc>
          <w:tcPr>
            <w:tcW w:w="210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优</w:t>
            </w:r>
          </w:p>
        </w:tc>
        <w:tc>
          <w:tcPr>
            <w:tcW w:w="180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良</w:t>
            </w:r>
          </w:p>
        </w:tc>
        <w:tc>
          <w:tcPr>
            <w:tcW w:w="1413" w:type="dxa"/>
            <w:tcBorders>
              <w:top w:val="single" w:color="000000" w:sz="8" w:space="0"/>
              <w:left w:val="nil"/>
              <w:bottom w:val="single" w:color="000000" w:sz="8" w:space="0"/>
              <w:right w:val="nil"/>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中</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差</w:t>
            </w:r>
          </w:p>
        </w:tc>
      </w:tr>
      <w:tr>
        <w:tblPrEx>
          <w:tblCellMar>
            <w:top w:w="0" w:type="dxa"/>
            <w:left w:w="0" w:type="dxa"/>
            <w:bottom w:w="0" w:type="dxa"/>
            <w:right w:w="0" w:type="dxa"/>
          </w:tblCellMar>
        </w:tblPrEx>
        <w:trPr>
          <w:trHeight w:val="405" w:hRule="atLeast"/>
        </w:trPr>
        <w:tc>
          <w:tcPr>
            <w:tcW w:w="1437"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分值</w:t>
            </w:r>
          </w:p>
        </w:tc>
        <w:tc>
          <w:tcPr>
            <w:tcW w:w="2105"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≥1</w:t>
            </w:r>
            <w:r>
              <w:rPr>
                <w:rStyle w:val="9"/>
                <w:rFonts w:hint="default" w:ascii="宋体" w:hAnsi="宋体" w:eastAsia="宋体"/>
                <w:sz w:val="32"/>
                <w:szCs w:val="32"/>
                <w:lang w:bidi="ar"/>
              </w:rPr>
              <w:t>00%</w:t>
            </w:r>
          </w:p>
        </w:tc>
        <w:tc>
          <w:tcPr>
            <w:tcW w:w="1807"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9</w:t>
            </w:r>
            <w:r>
              <w:rPr>
                <w:rFonts w:ascii="宋体" w:hAnsi="宋体" w:eastAsia="宋体"/>
                <w:kern w:val="0"/>
                <w:sz w:val="32"/>
                <w:szCs w:val="32"/>
              </w:rPr>
              <w:t>0%-99%</w:t>
            </w:r>
          </w:p>
        </w:tc>
        <w:tc>
          <w:tcPr>
            <w:tcW w:w="1413" w:type="dxa"/>
            <w:tcBorders>
              <w:top w:val="nil"/>
              <w:left w:val="nil"/>
              <w:bottom w:val="single" w:color="000000" w:sz="8" w:space="0"/>
              <w:right w:val="nil"/>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8</w:t>
            </w:r>
            <w:r>
              <w:rPr>
                <w:rFonts w:ascii="宋体" w:hAnsi="宋体" w:eastAsia="宋体"/>
                <w:kern w:val="0"/>
                <w:sz w:val="32"/>
                <w:szCs w:val="32"/>
              </w:rPr>
              <w:t>0%-89%</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&lt;80%</w:t>
            </w:r>
          </w:p>
        </w:tc>
      </w:tr>
    </w:tbl>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（二）执行绩效监控情况。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（三）资金管理情况。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项目资金全部为省级资金，已全部到位。项目实施后，资金实际支出100%。</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（四）绩效管理制度建设及执行情况。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认真落实上级绩效管理相关制度，细化内控制度，强化管理执行，确保严格落实到位。</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（五）风险管理情况。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建立风险评估机制，成立风险评估小组，对项目活动存在的风险进行全面、系统和客观评估，实施监督项目进展。</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（一）工作活动(项目)自评组织情况。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成立了由单位主管领导任组长，单位财务科室主管任副组长财务工作人员为成员的3人工作项目自评小组，负责项目的绩效自评，确保自评工作的客观、真实、全面。</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（二）工作活动(项目)评价结果。</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根据相关要求，对照绩效目标和相关指标，经认真自评，该项目得分100分，属于优秀等次。</w:t>
      </w:r>
    </w:p>
    <w:p>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（一）工作活动(项目)实现绩效目标过程中存在的问题。</w:t>
      </w:r>
    </w:p>
    <w:p>
      <w:pPr>
        <w:widowControl/>
        <w:ind w:firstLine="640" w:firstLineChars="2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项目施工过程中由于施工期在雨季，下雨天数较多施工期紧张，后期加大施工力量后按期交付使用。</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（二）工作活动(项目)实施中改进意见及措施。</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突出问题导向和结果导向，一是坚持政府领导，统一思想，进一步强化村级责任意识，支部书记负总责，两委干部具体落实，层层传导压力，强化工作合力，协调联动落实。二是健全完善工作机制，进一明确村两委职责和村级事务年度目标，实行定期调度推进制度。</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（三）建议。</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一是县财政部门加大对绩效预算管理改革和绩效自评相关内容学习培训，进一步各单位提升工作人员绩效评价业务水平，促进高质量财政建设。</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三是严格执行资金申报，强化资金保障。规范项目申报管理，严格要求项目申报单位按规定提供申报材料、填报项目绩效目标，对不合规的项目申报材料不予受理。</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047EA"/>
    <w:rsid w:val="000B6188"/>
    <w:rsid w:val="00156AA6"/>
    <w:rsid w:val="001D2EAA"/>
    <w:rsid w:val="001F7DD8"/>
    <w:rsid w:val="002C71AF"/>
    <w:rsid w:val="002E23D3"/>
    <w:rsid w:val="0032778B"/>
    <w:rsid w:val="0036746E"/>
    <w:rsid w:val="00452E2F"/>
    <w:rsid w:val="00476898"/>
    <w:rsid w:val="00574E7A"/>
    <w:rsid w:val="0058118E"/>
    <w:rsid w:val="00584A12"/>
    <w:rsid w:val="00661BB7"/>
    <w:rsid w:val="006A012B"/>
    <w:rsid w:val="006C0284"/>
    <w:rsid w:val="00732C10"/>
    <w:rsid w:val="00767F1C"/>
    <w:rsid w:val="0078532C"/>
    <w:rsid w:val="007A1805"/>
    <w:rsid w:val="008A423E"/>
    <w:rsid w:val="008A68C7"/>
    <w:rsid w:val="008E0144"/>
    <w:rsid w:val="008E641D"/>
    <w:rsid w:val="009C2B29"/>
    <w:rsid w:val="009E7E4A"/>
    <w:rsid w:val="00A17715"/>
    <w:rsid w:val="00B05C53"/>
    <w:rsid w:val="00C047EA"/>
    <w:rsid w:val="00C27BAC"/>
    <w:rsid w:val="00C422D3"/>
    <w:rsid w:val="00C569E2"/>
    <w:rsid w:val="00C75D9F"/>
    <w:rsid w:val="00C91487"/>
    <w:rsid w:val="00CA444D"/>
    <w:rsid w:val="00CE1079"/>
    <w:rsid w:val="00D369D7"/>
    <w:rsid w:val="00D432C4"/>
    <w:rsid w:val="00D4578E"/>
    <w:rsid w:val="00E160B9"/>
    <w:rsid w:val="00F53551"/>
    <w:rsid w:val="00F606CB"/>
    <w:rsid w:val="00F61727"/>
    <w:rsid w:val="00FC3534"/>
    <w:rsid w:val="00FE09BC"/>
    <w:rsid w:val="54622347"/>
    <w:rsid w:val="686461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 w:type="paragraph" w:styleId="8">
    <w:name w:val="List Paragraph"/>
    <w:basedOn w:val="1"/>
    <w:qFormat/>
    <w:uiPriority w:val="34"/>
    <w:pPr>
      <w:ind w:firstLine="420" w:firstLineChars="200"/>
    </w:pPr>
  </w:style>
  <w:style w:type="character" w:customStyle="1" w:styleId="9">
    <w:name w:val="font41"/>
    <w:uiPriority w:val="0"/>
    <w:rPr>
      <w:rFonts w:hint="eastAsia" w:ascii="仿宋" w:hAnsi="仿宋" w:eastAsia="仿宋" w:cs="仿宋"/>
      <w:color w:val="000000"/>
      <w:sz w:val="24"/>
      <w:szCs w:val="24"/>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365</Words>
  <Characters>2085</Characters>
  <Lines>17</Lines>
  <Paragraphs>4</Paragraphs>
  <TotalTime>190</TotalTime>
  <ScaleCrop>false</ScaleCrop>
  <LinksUpToDate>false</LinksUpToDate>
  <CharactersWithSpaces>2446</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2022-03-02T02:51:00Z</dcterms:created>
  <dc:creator>lenovo</dc:creator>
  <cp:lastModifiedBy>yangbo</cp:lastModifiedBy>
  <cp:lastPrinted>2022-03-03T03:27:00Z</cp:lastPrinted>
  <dcterms:modified xsi:type="dcterms:W3CDTF">2022-04-08T03:05:55Z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4B1800B72B694FABB7B1B9ED46B90C13</vt:lpwstr>
  </property>
</Properties>
</file>