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="780"/>
        <w:jc w:val="center"/>
        <w:rPr>
          <w:rFonts w:hint="eastAsia" w:cs="黑体" w:asciiTheme="minorEastAsia" w:hAnsiTheme="minorEastAsia"/>
          <w:b/>
          <w:bCs/>
          <w:sz w:val="30"/>
          <w:szCs w:val="30"/>
        </w:rPr>
      </w:pPr>
      <w:r>
        <w:rPr>
          <w:rFonts w:hint="eastAsia" w:cs="黑体" w:asciiTheme="minorEastAsia" w:hAnsiTheme="minorEastAsia"/>
          <w:b/>
          <w:bCs/>
          <w:sz w:val="30"/>
          <w:szCs w:val="30"/>
          <w:lang w:val="en-US" w:eastAsia="zh-CN"/>
        </w:rPr>
        <w:t>中共隆尧县委党校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="780"/>
        <w:jc w:val="center"/>
        <w:rPr>
          <w:rFonts w:cs="黑体" w:asciiTheme="minorEastAsia" w:hAnsiTheme="minorEastAsia"/>
          <w:b/>
          <w:bCs/>
          <w:sz w:val="30"/>
          <w:szCs w:val="30"/>
        </w:rPr>
      </w:pPr>
      <w:r>
        <w:rPr>
          <w:rFonts w:hint="eastAsia" w:cs="黑体" w:asciiTheme="minorEastAsia" w:hAnsiTheme="minorEastAsia"/>
          <w:b/>
          <w:bCs/>
          <w:sz w:val="30"/>
          <w:szCs w:val="30"/>
        </w:rPr>
        <w:t>2021年部门整体支出绩效评价报告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="640" w:firstLineChars="200"/>
        <w:rPr>
          <w:rFonts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</w:rPr>
        <w:t>一、基本概况。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 w:firstLine="64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(一)部门主要职责职能和部门组织架构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="640"/>
        <w:jc w:val="left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/>
          <w:color w:val="000000"/>
          <w:sz w:val="30"/>
          <w:szCs w:val="30"/>
        </w:rPr>
        <w:t>部门职责：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0" w:after="0"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根据《隆尧县委党校职能配置、内设机构和人员编制规定》，隆尧县委党校的主要职责是：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0" w:after="0"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(一）负责全县基层党组织、党员干部理论培训工作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0" w:after="0"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（二）负责后备干部和新任副科级领导干部培训工作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0" w:after="0"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（三）负责党建理论、社会科学各学科研究工作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0" w:after="0"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（四）负责县情调研工作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0" w:after="0"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（五）负责县委安排的其它工作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="640"/>
        <w:jc w:val="left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/>
          <w:color w:val="000000"/>
          <w:sz w:val="30"/>
          <w:szCs w:val="30"/>
        </w:rPr>
        <w:t>机构设置：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部门机构设置情况</w:t>
      </w:r>
    </w:p>
    <w:tbl>
      <w:tblPr>
        <w:tblStyle w:val="3"/>
        <w:tblW w:w="9856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464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单位名称</w:t>
            </w:r>
          </w:p>
        </w:tc>
        <w:tc>
          <w:tcPr>
            <w:tcW w:w="2464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单位性质</w:t>
            </w:r>
          </w:p>
        </w:tc>
        <w:tc>
          <w:tcPr>
            <w:tcW w:w="2464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单位规格</w:t>
            </w:r>
          </w:p>
        </w:tc>
        <w:tc>
          <w:tcPr>
            <w:tcW w:w="2464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中共隆尧县委党校本级</w:t>
            </w:r>
          </w:p>
        </w:tc>
        <w:tc>
          <w:tcPr>
            <w:tcW w:w="24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事业</w:t>
            </w:r>
          </w:p>
        </w:tc>
        <w:tc>
          <w:tcPr>
            <w:tcW w:w="24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正科级</w:t>
            </w:r>
          </w:p>
        </w:tc>
        <w:tc>
          <w:tcPr>
            <w:tcW w:w="2464" w:type="dxa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after="0" w:line="460" w:lineRule="exact"/>
              <w:ind w:right="0" w:rightChars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财政性资金基本保证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</w:rPr>
        <w:t>（二）人员及资产情况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人员：在职16人  离休1人  退休13人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资产情况：年初数17.01万元 期末数19.66万元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（三）部门履职总体目标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总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体</w:t>
      </w:r>
      <w:r>
        <w:rPr>
          <w:rFonts w:hint="eastAsia" w:ascii="仿宋" w:hAnsi="仿宋" w:eastAsia="仿宋" w:cs="仿宋"/>
          <w:sz w:val="30"/>
          <w:szCs w:val="30"/>
        </w:rPr>
        <w:t>目标：在县委的正确领导下，坚持以教学为中心、科研为基础、信息化为手段、行政后勤为保障，不断改善办学设施，优化师资队伍，提升教研水平，干部教育培训主渠道、主阵地和党性锻炼熔炉作用得到了充分发挥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</w:rPr>
        <w:t>（四）年度整体绩效目标和工作任务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年度整体绩效</w:t>
      </w:r>
      <w:r>
        <w:rPr>
          <w:rFonts w:hint="eastAsia" w:ascii="仿宋" w:hAnsi="仿宋" w:eastAsia="仿宋" w:cs="仿宋"/>
          <w:sz w:val="30"/>
          <w:szCs w:val="30"/>
        </w:rPr>
        <w:t>目标：一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是提升培训质量、提升教研质量、提升服务质量，切实办好了各类型干部培训班。二是切实加强了思想建设、能力建设、制度建设、廉洁建设，提升办公环境，改善办公条件。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outlineLvl w:val="9"/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</w:rPr>
        <w:t>工作任务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在县委的领导下，认真完成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党的路线、方针、政策的宣传和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2021年的培训工作，不断改善办学设施，为学员提供良好的学习环境。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楷体" w:hAnsi="楷体" w:eastAsia="楷体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（五）预算资金安排及资金支出</w:t>
      </w:r>
      <w:r>
        <w:rPr>
          <w:rFonts w:hint="eastAsia" w:ascii="楷体" w:hAnsi="楷体" w:eastAsia="楷体" w:cs="仿宋"/>
          <w:sz w:val="30"/>
          <w:szCs w:val="30"/>
        </w:rPr>
        <w:t>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2021年预算资金680.3002万元，实际支出435.5299万元。</w:t>
      </w:r>
    </w:p>
    <w:p>
      <w:pPr>
        <w:pStyle w:val="8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Chars="0"/>
        <w:rPr>
          <w:rFonts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</w:rPr>
        <w:t>预算绩效管理开展及整体绩效实现情况。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 w:firstLine="480" w:firstLineChars="15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部门开展预算绩效管理情况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560"/>
        <w:textAlignment w:val="auto"/>
        <w:outlineLvl w:val="9"/>
        <w:rPr>
          <w:rFonts w:hint="eastAsia" w:ascii="仿宋" w:hAnsi="仿宋" w:eastAsia="仿宋" w:cs="仿宋"/>
          <w:kern w:val="0"/>
          <w:sz w:val="30"/>
          <w:szCs w:val="30"/>
        </w:rPr>
      </w:pPr>
      <w:r>
        <w:rPr>
          <w:rFonts w:hint="eastAsia" w:ascii="仿宋" w:hAnsi="仿宋" w:eastAsia="仿宋" w:cs="仿宋"/>
          <w:kern w:val="0"/>
          <w:sz w:val="30"/>
          <w:szCs w:val="30"/>
        </w:rPr>
        <w:t>制定详细可行的工作活动(项目)实施计划，并按实施计划具体落实。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</w:rPr>
        <w:t>（二）工作履行活动完成情况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kern w:val="0"/>
          <w:sz w:val="30"/>
          <w:szCs w:val="30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kern w:val="0"/>
          <w:sz w:val="30"/>
          <w:szCs w:val="30"/>
        </w:rPr>
        <w:t>在工作活动(项目)执行中绩效信息收集利用和执行中绩效管理。工作活动有明确的绩效目标，绩效目标与部门职责目标、部门年度工作目标一致，能体现工作活动的产出和效果。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（三）实施履职活动产生的效果或服务对象满意程度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</w:rPr>
        <w:t>社会公众或服务对象满意程度高。</w:t>
      </w:r>
    </w:p>
    <w:p>
      <w:pPr>
        <w:pStyle w:val="8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Chars="0"/>
        <w:rPr>
          <w:rFonts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</w:rPr>
        <w:t>绩效评价的组织实施情况</w:t>
      </w:r>
    </w:p>
    <w:p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 w:firstLine="480" w:firstLineChars="15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评价对象绩效目标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通过利用县委党校经费，开展现场教学、案例教学、特色教学，有效提高培训质量，提高学员解决实际问题的能力。</w:t>
      </w:r>
    </w:p>
    <w:p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 w:firstLine="480" w:firstLineChars="15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绩效指标</w:t>
      </w:r>
    </w:p>
    <w:tbl>
      <w:tblPr>
        <w:tblStyle w:val="3"/>
        <w:tblW w:w="917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60"/>
        <w:gridCol w:w="2088"/>
        <w:gridCol w:w="3252"/>
        <w:gridCol w:w="207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8" w:hRule="atLeast"/>
        </w:trPr>
        <w:tc>
          <w:tcPr>
            <w:tcW w:w="17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20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32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20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指标分值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6" w:hRule="atLeast"/>
        </w:trPr>
        <w:tc>
          <w:tcPr>
            <w:tcW w:w="17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0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32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0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0"/>
                <w:szCs w:val="3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17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产出指标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</w:p>
        </w:tc>
        <w:tc>
          <w:tcPr>
            <w:tcW w:w="2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3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培训学员人次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Style w:val="9"/>
                <w:rFonts w:hint="eastAsia" w:ascii="仿宋" w:hAnsi="仿宋" w:eastAsia="仿宋" w:cs="仿宋"/>
                <w:sz w:val="30"/>
                <w:szCs w:val="30"/>
                <w:lang w:val="en-US" w:eastAsia="zh-CN" w:bidi="ar"/>
              </w:rPr>
              <w:t>≥</w:t>
            </w:r>
            <w:r>
              <w:rPr>
                <w:rStyle w:val="10"/>
                <w:rFonts w:hint="eastAsia" w:ascii="仿宋" w:hAnsi="仿宋" w:eastAsia="仿宋" w:cs="仿宋"/>
                <w:sz w:val="30"/>
                <w:szCs w:val="30"/>
                <w:lang w:val="en-US" w:eastAsia="zh-CN" w:bidi="ar"/>
              </w:rPr>
              <w:t>2000人次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3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保质保量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3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完成率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17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2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3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正常运转经费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Style w:val="11"/>
                <w:rFonts w:hint="eastAsia" w:ascii="仿宋" w:hAnsi="仿宋" w:eastAsia="仿宋" w:cs="仿宋"/>
                <w:sz w:val="30"/>
                <w:szCs w:val="30"/>
                <w:lang w:val="en-US" w:eastAsia="zh-CN" w:bidi="ar"/>
              </w:rPr>
              <w:t>≦</w:t>
            </w:r>
            <w:r>
              <w:rPr>
                <w:rStyle w:val="10"/>
                <w:rFonts w:hint="eastAsia" w:ascii="仿宋" w:hAnsi="仿宋" w:eastAsia="仿宋" w:cs="仿宋"/>
                <w:sz w:val="30"/>
                <w:szCs w:val="30"/>
                <w:lang w:val="en-US" w:eastAsia="zh-CN" w:bidi="ar"/>
              </w:rPr>
              <w:t>80万元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46" w:hRule="atLeast"/>
        </w:trPr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效益指标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</w:p>
        </w:tc>
        <w:tc>
          <w:tcPr>
            <w:tcW w:w="2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3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提高学员政治理论水平及素质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</w:trPr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br w:type="textWrapping"/>
            </w:r>
          </w:p>
        </w:tc>
        <w:tc>
          <w:tcPr>
            <w:tcW w:w="2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3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学员对讲授内容的满意度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60" w:lineRule="exact"/>
              <w:ind w:right="0" w:rightChars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人</w:t>
            </w:r>
          </w:p>
        </w:tc>
      </w:tr>
    </w:tbl>
    <w:p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 w:firstLine="480" w:firstLineChars="15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评价标准和评价方法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评价标准：党校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2021年工作规划</w:t>
      </w:r>
    </w:p>
    <w:p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评价方法：单位</w:t>
      </w:r>
      <w:r>
        <w:rPr>
          <w:rFonts w:hint="eastAsia" w:ascii="仿宋" w:hAnsi="仿宋" w:eastAsia="仿宋" w:cs="仿宋"/>
          <w:sz w:val="30"/>
          <w:szCs w:val="30"/>
        </w:rPr>
        <w:t>成立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了工作领导小组。白红军（常务副校长）任</w:t>
      </w:r>
      <w:r>
        <w:rPr>
          <w:rFonts w:hint="eastAsia" w:ascii="仿宋" w:hAnsi="仿宋" w:eastAsia="仿宋" w:cs="仿宋"/>
          <w:sz w:val="30"/>
          <w:szCs w:val="30"/>
        </w:rPr>
        <w:t>组长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，汪江中任副组长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,张宏元（办公室主任）、孟然然（办公室科员）为组员的项目</w:t>
      </w:r>
      <w:r>
        <w:rPr>
          <w:rFonts w:hint="eastAsia" w:ascii="仿宋" w:hAnsi="仿宋" w:eastAsia="仿宋" w:cs="仿宋"/>
          <w:sz w:val="30"/>
          <w:szCs w:val="30"/>
        </w:rPr>
        <w:t>自评小组，认真开展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部门整体</w:t>
      </w:r>
      <w:r>
        <w:rPr>
          <w:rFonts w:hint="eastAsia" w:ascii="仿宋" w:hAnsi="仿宋" w:eastAsia="仿宋" w:cs="仿宋"/>
          <w:sz w:val="30"/>
          <w:szCs w:val="30"/>
        </w:rPr>
        <w:t>绩效自评工作。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460" w:lineRule="exact"/>
        <w:ind w:right="0" w:rightChars="0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pStyle w:val="8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Chars="0"/>
        <w:rPr>
          <w:rFonts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</w:rPr>
        <w:t>各项绩效目标的实现程度及差异性原因分析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2021年项目绩效评价打分100分，整体绩效评价为优秀。</w:t>
      </w:r>
    </w:p>
    <w:tbl>
      <w:tblPr>
        <w:tblStyle w:val="3"/>
        <w:tblW w:w="998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7"/>
        <w:gridCol w:w="1908"/>
        <w:gridCol w:w="2904"/>
        <w:gridCol w:w="2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2237" w:type="dxa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职责活动</w:t>
            </w:r>
          </w:p>
        </w:tc>
        <w:tc>
          <w:tcPr>
            <w:tcW w:w="1908" w:type="dxa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预算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  <w:lang w:eastAsia="zh-CN"/>
              </w:rPr>
              <w:t>安排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数</w:t>
            </w:r>
          </w:p>
        </w:tc>
        <w:tc>
          <w:tcPr>
            <w:tcW w:w="2904" w:type="dxa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绩效目标实现程度</w:t>
            </w:r>
          </w:p>
        </w:tc>
        <w:tc>
          <w:tcPr>
            <w:tcW w:w="2940" w:type="dxa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0"/>
                <w:szCs w:val="30"/>
              </w:rPr>
              <w:t>差异性原因分析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223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  <w:t>人员经费</w:t>
            </w:r>
          </w:p>
        </w:tc>
        <w:tc>
          <w:tcPr>
            <w:tcW w:w="190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153.4399</w:t>
            </w:r>
          </w:p>
        </w:tc>
        <w:tc>
          <w:tcPr>
            <w:tcW w:w="290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完成</w:t>
            </w:r>
          </w:p>
        </w:tc>
        <w:tc>
          <w:tcPr>
            <w:tcW w:w="29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2237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eastAsia="zh-CN"/>
              </w:rPr>
              <w:t>日常公用经费</w:t>
            </w:r>
          </w:p>
        </w:tc>
        <w:tc>
          <w:tcPr>
            <w:tcW w:w="190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 xml:space="preserve">     15.09</w:t>
            </w:r>
          </w:p>
        </w:tc>
        <w:tc>
          <w:tcPr>
            <w:tcW w:w="290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完成</w:t>
            </w:r>
          </w:p>
        </w:tc>
        <w:tc>
          <w:tcPr>
            <w:tcW w:w="29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2237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  <w:t>项目经费</w:t>
            </w:r>
          </w:p>
        </w:tc>
        <w:tc>
          <w:tcPr>
            <w:tcW w:w="190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0"/>
                <w:szCs w:val="30"/>
                <w:lang w:val="en-US" w:eastAsia="zh-CN"/>
              </w:rPr>
              <w:t>267</w:t>
            </w:r>
          </w:p>
        </w:tc>
        <w:tc>
          <w:tcPr>
            <w:tcW w:w="290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  <w:t>完成</w:t>
            </w:r>
          </w:p>
        </w:tc>
        <w:tc>
          <w:tcPr>
            <w:tcW w:w="29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kern w:val="0"/>
                <w:sz w:val="30"/>
                <w:szCs w:val="30"/>
              </w:rPr>
            </w:pPr>
          </w:p>
        </w:tc>
      </w:tr>
    </w:tbl>
    <w:p>
      <w:pPr>
        <w:pStyle w:val="8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="640"/>
        <w:rPr>
          <w:rFonts w:hint="eastAsia"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  <w:lang w:eastAsia="zh-CN"/>
        </w:rPr>
        <w:t>四、</w:t>
      </w:r>
      <w:r>
        <w:rPr>
          <w:rFonts w:hint="eastAsia" w:ascii="黑体" w:hAnsi="黑体" w:eastAsia="黑体" w:cs="仿宋"/>
          <w:sz w:val="30"/>
          <w:szCs w:val="30"/>
        </w:rPr>
        <w:t>存在问题</w:t>
      </w:r>
    </w:p>
    <w:p>
      <w:pPr>
        <w:pStyle w:val="8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color w:val="333333"/>
          <w:sz w:val="30"/>
          <w:szCs w:val="30"/>
          <w:shd w:val="clear" w:color="auto" w:fill="FFFFFF"/>
        </w:rPr>
        <w:t>在绩效考评指标的设计上，部分特色指标缺乏数据支持和可行的分析测评，绩效指标体系有待完善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>
      <w:pPr>
        <w:pStyle w:val="8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leftChars="200" w:right="0" w:rightChars="0"/>
        <w:rPr>
          <w:rFonts w:hint="eastAsia" w:ascii="黑体" w:hAnsi="黑体" w:eastAsia="黑体" w:cs="仿宋"/>
          <w:sz w:val="30"/>
          <w:szCs w:val="30"/>
        </w:rPr>
      </w:pPr>
      <w:r>
        <w:rPr>
          <w:rFonts w:hint="eastAsia" w:ascii="黑体" w:hAnsi="黑体" w:eastAsia="黑体" w:cs="仿宋"/>
          <w:sz w:val="30"/>
          <w:szCs w:val="30"/>
          <w:lang w:val="en-US" w:eastAsia="zh-CN"/>
        </w:rPr>
        <w:t xml:space="preserve"> </w:t>
      </w:r>
      <w:r>
        <w:rPr>
          <w:rFonts w:hint="eastAsia" w:ascii="黑体" w:hAnsi="黑体" w:eastAsia="黑体" w:cs="仿宋"/>
          <w:sz w:val="30"/>
          <w:szCs w:val="30"/>
          <w:lang w:eastAsia="zh-CN"/>
        </w:rPr>
        <w:t>五、</w:t>
      </w:r>
      <w:r>
        <w:rPr>
          <w:rFonts w:hint="eastAsia" w:ascii="黑体" w:hAnsi="黑体" w:eastAsia="黑体" w:cs="仿宋"/>
          <w:sz w:val="30"/>
          <w:szCs w:val="30"/>
        </w:rPr>
        <w:t>采取的纠偏措施及改进绩效管理建议</w:t>
      </w:r>
    </w:p>
    <w:p>
      <w:pPr>
        <w:pStyle w:val="12"/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600" w:firstLineChars="200"/>
        <w:jc w:val="left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采取多种形式开展培训活动,拓宽视野，开阔思路，提高业务素质。 </w:t>
      </w:r>
    </w:p>
    <w:p>
      <w:pPr>
        <w:pStyle w:val="1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0"/>
          <w:szCs w:val="30"/>
        </w:rPr>
        <w:t>(2) 规范绩效评价管理资料的收集整理，确保相关信息完整、可靠，客观公正地反映项目资金实际使用和产生的绩效状况，为今后该项目实施方向及管理方式的改进提供指导。</w:t>
      </w:r>
    </w:p>
    <w:p>
      <w:pPr>
        <w:pStyle w:val="8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leftChars="200" w:right="0" w:rightChars="0"/>
        <w:rPr>
          <w:rFonts w:hint="eastAsia" w:ascii="仿宋" w:hAnsi="仿宋" w:eastAsia="仿宋" w:cs="仿宋"/>
          <w:sz w:val="30"/>
          <w:szCs w:val="30"/>
        </w:rPr>
      </w:pPr>
    </w:p>
    <w:p>
      <w:pPr>
        <w:pStyle w:val="8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leftChars="200" w:right="0" w:rightChars="0"/>
        <w:rPr>
          <w:rFonts w:hint="eastAsia" w:ascii="黑体" w:hAnsi="黑体" w:eastAsia="黑体" w:cs="仿宋"/>
          <w:sz w:val="30"/>
          <w:szCs w:val="3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60" w:lineRule="exact"/>
        <w:ind w:right="0" w:rightChars="0"/>
        <w:rPr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altName w:val="Calibri"/>
    <w:panose1 w:val="020F0302020204030204"/>
    <w:charset w:val="00"/>
    <w:family w:val="auto"/>
    <w:pitch w:val="default"/>
    <w:sig w:usb0="00000000" w:usb1="00000000" w:usb2="00000000" w:usb3="00000000" w:csb0="2000019F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舒体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0F" w:csb1="00000000"/>
  </w:font>
  <w:font w:name="方正中等线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大黑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篆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幼线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报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水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硬笔行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圆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宋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倩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珊瑚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综艺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方正小标宋_GBK">
    <w:altName w:val="微软雅黑"/>
    <w:panose1 w:val="03000509000000000000"/>
    <w:charset w:val="86"/>
    <w:family w:val="roman"/>
    <w:pitch w:val="default"/>
    <w:sig w:usb0="00000000" w:usb1="00000000" w:usb2="00000000" w:usb3="00000000" w:csb0="00040001" w:csb1="00000000"/>
  </w:font>
  <w:font w:name="方正黑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47912820">
    <w:nsid w:val="62392774"/>
    <w:multiLevelType w:val="singleLevel"/>
    <w:tmpl w:val="62392774"/>
    <w:lvl w:ilvl="0" w:tentative="1">
      <w:start w:val="1"/>
      <w:numFmt w:val="decimal"/>
      <w:suff w:val="nothing"/>
      <w:lvlText w:val="(%1)"/>
      <w:lvlJc w:val="left"/>
    </w:lvl>
  </w:abstractNum>
  <w:abstractNum w:abstractNumId="1647911311">
    <w:nsid w:val="6239218F"/>
    <w:multiLevelType w:val="singleLevel"/>
    <w:tmpl w:val="6239218F"/>
    <w:lvl w:ilvl="0" w:tentative="1">
      <w:start w:val="1"/>
      <w:numFmt w:val="chineseCounting"/>
      <w:suff w:val="nothing"/>
      <w:lvlText w:val="（%1）"/>
      <w:lvlJc w:val="left"/>
    </w:lvl>
  </w:abstractNum>
  <w:abstractNum w:abstractNumId="1647910987">
    <w:nsid w:val="6239204B"/>
    <w:multiLevelType w:val="singleLevel"/>
    <w:tmpl w:val="6239204B"/>
    <w:lvl w:ilvl="0" w:tentative="1">
      <w:start w:val="1"/>
      <w:numFmt w:val="chineseCounting"/>
      <w:suff w:val="nothing"/>
      <w:lvlText w:val="（%1）"/>
      <w:lvlJc w:val="left"/>
    </w:lvl>
  </w:abstractNum>
  <w:abstractNum w:abstractNumId="1306735337">
    <w:nsid w:val="4DE332E9"/>
    <w:multiLevelType w:val="multilevel"/>
    <w:tmpl w:val="4DE332E9"/>
    <w:lvl w:ilvl="0" w:tentative="1">
      <w:start w:val="1"/>
      <w:numFmt w:val="japaneseCounting"/>
      <w:lvlText w:val="%1、"/>
      <w:lvlJc w:val="left"/>
      <w:pPr>
        <w:ind w:left="1429" w:hanging="720"/>
      </w:pPr>
      <w:rPr>
        <w:rFonts w:hint="default"/>
        <w:lang w:val="en-US"/>
      </w:rPr>
    </w:lvl>
    <w:lvl w:ilvl="1" w:tentative="1">
      <w:start w:val="1"/>
      <w:numFmt w:val="lowerLetter"/>
      <w:lvlText w:val="%2)"/>
      <w:lvlJc w:val="left"/>
      <w:pPr>
        <w:ind w:left="1419" w:hanging="420"/>
      </w:pPr>
    </w:lvl>
    <w:lvl w:ilvl="2" w:tentative="1">
      <w:start w:val="1"/>
      <w:numFmt w:val="lowerRoman"/>
      <w:lvlText w:val="%3."/>
      <w:lvlJc w:val="right"/>
      <w:pPr>
        <w:ind w:left="1839" w:hanging="420"/>
      </w:pPr>
    </w:lvl>
    <w:lvl w:ilvl="3" w:tentative="1">
      <w:start w:val="1"/>
      <w:numFmt w:val="decimal"/>
      <w:lvlText w:val="%4."/>
      <w:lvlJc w:val="left"/>
      <w:pPr>
        <w:ind w:left="2259" w:hanging="420"/>
      </w:pPr>
    </w:lvl>
    <w:lvl w:ilvl="4" w:tentative="1">
      <w:start w:val="1"/>
      <w:numFmt w:val="lowerLetter"/>
      <w:lvlText w:val="%5)"/>
      <w:lvlJc w:val="left"/>
      <w:pPr>
        <w:ind w:left="2679" w:hanging="420"/>
      </w:pPr>
    </w:lvl>
    <w:lvl w:ilvl="5" w:tentative="1">
      <w:start w:val="1"/>
      <w:numFmt w:val="lowerRoman"/>
      <w:lvlText w:val="%6."/>
      <w:lvlJc w:val="right"/>
      <w:pPr>
        <w:ind w:left="3099" w:hanging="420"/>
      </w:pPr>
    </w:lvl>
    <w:lvl w:ilvl="6" w:tentative="1">
      <w:start w:val="1"/>
      <w:numFmt w:val="decimal"/>
      <w:lvlText w:val="%7."/>
      <w:lvlJc w:val="left"/>
      <w:pPr>
        <w:ind w:left="3519" w:hanging="420"/>
      </w:pPr>
    </w:lvl>
    <w:lvl w:ilvl="7" w:tentative="1">
      <w:start w:val="1"/>
      <w:numFmt w:val="lowerLetter"/>
      <w:lvlText w:val="%8)"/>
      <w:lvlJc w:val="left"/>
      <w:pPr>
        <w:ind w:left="3939" w:hanging="420"/>
      </w:pPr>
    </w:lvl>
    <w:lvl w:ilvl="8" w:tentative="1">
      <w:start w:val="1"/>
      <w:numFmt w:val="lowerRoman"/>
      <w:lvlText w:val="%9."/>
      <w:lvlJc w:val="right"/>
      <w:pPr>
        <w:ind w:left="4359" w:hanging="420"/>
      </w:pPr>
    </w:lvl>
  </w:abstractNum>
  <w:num w:numId="1">
    <w:abstractNumId w:val="1306735337"/>
  </w:num>
  <w:num w:numId="2">
    <w:abstractNumId w:val="1647910987"/>
  </w:num>
  <w:num w:numId="3">
    <w:abstractNumId w:val="1647911311"/>
  </w:num>
  <w:num w:numId="4">
    <w:abstractNumId w:val="16479128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120A9C"/>
    <w:rsid w:val="2C751383"/>
    <w:rsid w:val="61120A9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5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6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7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9">
    <w:name w:val="font11"/>
    <w:basedOn w:val="2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10">
    <w:name w:val="font21"/>
    <w:basedOn w:val="2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1">
    <w:name w:val="font01"/>
    <w:basedOn w:val="2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paragraph" w:customStyle="1" w:styleId="12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Office_10.1.0.5559_F1E327BC-269C-435d-A152-05C5408002CA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2022-03-23T07:35:00Z</dcterms:created>
  <dc:creator>Administrator</dc:creator>
  <cp:lastModifiedBy>Administrator</cp:lastModifiedBy>
  <cp:lastPrinted>2022-03-23T07:38:56Z</cp:lastPrinted>
  <dcterms:modified xsi:type="dcterms:W3CDTF">2022-03-23T07:39:28Z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