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400" w:lineRule="exact"/>
        <w:jc w:val="left"/>
        <w:rPr>
          <w:rFonts w:ascii="仿宋" w:hAnsi="仿宋" w:eastAsia="仿宋" w:cs="仿宋"/>
          <w:kern w:val="0"/>
          <w:sz w:val="32"/>
          <w:szCs w:val="32"/>
          <w:shd w:val="clear" w:color="auto" w:fill="FFFFFF"/>
        </w:rPr>
      </w:pPr>
      <w:r>
        <w:rPr>
          <w:rFonts w:hint="eastAsia" w:ascii="仿宋" w:hAnsi="仿宋" w:eastAsia="仿宋" w:cs="仿宋"/>
          <w:kern w:val="0"/>
          <w:sz w:val="32"/>
          <w:szCs w:val="32"/>
          <w:shd w:val="clear" w:color="auto" w:fill="FFFFFF"/>
        </w:rPr>
        <w:t xml:space="preserve">  附件4：</w:t>
      </w:r>
    </w:p>
    <w:p>
      <w:pPr>
        <w:spacing w:line="480" w:lineRule="exact"/>
        <w:jc w:val="center"/>
        <w:rPr>
          <w:rFonts w:ascii="宋体" w:hAnsi="宋体"/>
          <w:b/>
          <w:sz w:val="44"/>
          <w:szCs w:val="44"/>
        </w:rPr>
      </w:pPr>
      <w:r>
        <w:rPr>
          <w:rFonts w:hint="eastAsia" w:ascii="宋体" w:hAnsi="宋体"/>
          <w:b/>
          <w:sz w:val="44"/>
          <w:szCs w:val="44"/>
        </w:rPr>
        <w:t>隆尧县</w:t>
      </w:r>
      <w:r>
        <w:rPr>
          <w:rFonts w:hint="eastAsia" w:ascii="宋体" w:hAnsi="宋体"/>
          <w:b/>
          <w:sz w:val="44"/>
          <w:szCs w:val="44"/>
          <w:lang w:eastAsia="zh-CN"/>
        </w:rPr>
        <w:t>网信办</w:t>
      </w:r>
      <w:r>
        <w:rPr>
          <w:rFonts w:hint="eastAsia" w:ascii="宋体" w:hAnsi="宋体"/>
          <w:b/>
          <w:sz w:val="44"/>
          <w:szCs w:val="44"/>
        </w:rPr>
        <w:t>2021年</w:t>
      </w:r>
    </w:p>
    <w:p>
      <w:pPr>
        <w:spacing w:line="480" w:lineRule="exact"/>
        <w:jc w:val="center"/>
        <w:rPr>
          <w:rFonts w:ascii="宋体" w:hAnsi="宋体" w:eastAsia="宋体" w:cs="宋体"/>
          <w:b/>
          <w:color w:val="000000"/>
          <w:kern w:val="0"/>
          <w:sz w:val="44"/>
          <w:szCs w:val="44"/>
          <w:shd w:val="clear" w:color="auto" w:fill="FFFFFF"/>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p>
      <w:pPr>
        <w:spacing w:line="480" w:lineRule="exact"/>
        <w:jc w:val="left"/>
        <w:rPr>
          <w:rFonts w:ascii="仿宋" w:hAnsi="仿宋" w:eastAsia="仿宋" w:cs="仿宋"/>
          <w:sz w:val="24"/>
          <w:szCs w:val="24"/>
        </w:rPr>
      </w:pPr>
      <w:r>
        <w:rPr>
          <w:rFonts w:hint="eastAsia" w:ascii="仿宋" w:hAnsi="仿宋" w:eastAsia="仿宋" w:cs="仿宋"/>
          <w:sz w:val="24"/>
          <w:szCs w:val="24"/>
        </w:rPr>
        <w:t>单位名称:</w:t>
      </w:r>
      <w:r>
        <w:rPr>
          <w:rFonts w:hint="eastAsia" w:ascii="仿宋" w:hAnsi="仿宋" w:eastAsia="仿宋" w:cs="仿宋"/>
          <w:sz w:val="24"/>
          <w:szCs w:val="24"/>
          <w:lang w:eastAsia="zh-CN"/>
        </w:rPr>
        <w:t>网信办</w:t>
      </w:r>
      <w:r>
        <w:rPr>
          <w:rFonts w:hint="eastAsia" w:ascii="仿宋" w:hAnsi="仿宋" w:eastAsia="仿宋" w:cs="仿宋"/>
          <w:sz w:val="24"/>
          <w:szCs w:val="24"/>
        </w:rPr>
        <w:t xml:space="preserve">(公章)         单位负责人:          </w:t>
      </w:r>
    </w:p>
    <w:tbl>
      <w:tblPr>
        <w:tblStyle w:val="9"/>
        <w:tblW w:w="960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851"/>
        <w:gridCol w:w="1559"/>
        <w:gridCol w:w="3260"/>
        <w:gridCol w:w="2552"/>
        <w:gridCol w:w="5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rPr>
              <w:t>一级指标</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rPr>
              <w:t>二级指标</w:t>
            </w:r>
          </w:p>
        </w:tc>
        <w:tc>
          <w:tcPr>
            <w:tcW w:w="4819" w:type="dxa"/>
            <w:gridSpan w:val="2"/>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三级指标</w:t>
            </w:r>
          </w:p>
        </w:tc>
        <w:tc>
          <w:tcPr>
            <w:tcW w:w="2552"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评分标准</w:t>
            </w:r>
          </w:p>
        </w:tc>
        <w:tc>
          <w:tcPr>
            <w:tcW w:w="567"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b/>
              </w:rPr>
            </w:pPr>
            <w:r>
              <w:rPr>
                <w:rFonts w:ascii="仿宋_GB2312" w:hAnsi="新宋体" w:eastAsia="仿宋_GB2312" w:cs="仿宋_GB2312"/>
                <w:b/>
                <w:kern w:val="0"/>
                <w:sz w:val="24"/>
                <w:szCs w:val="24"/>
              </w:rPr>
              <w:t>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指标名称</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指标解释说明</w:t>
            </w:r>
          </w:p>
        </w:tc>
        <w:tc>
          <w:tcPr>
            <w:tcW w:w="2552"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c>
          <w:tcPr>
            <w:tcW w:w="567"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7" w:hRule="atLeast"/>
        </w:trPr>
        <w:tc>
          <w:tcPr>
            <w:tcW w:w="9039" w:type="dxa"/>
            <w:gridSpan w:val="5"/>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rFonts w:ascii="仿宋_GB2312" w:hAnsi="新宋体" w:eastAsia="仿宋_GB2312" w:cs="仿宋_GB2312"/>
                <w:b/>
                <w:kern w:val="0"/>
                <w:sz w:val="24"/>
                <w:szCs w:val="24"/>
              </w:rPr>
            </w:pPr>
            <w:r>
              <w:rPr>
                <w:rFonts w:hint="eastAsia" w:ascii="仿宋_GB2312" w:hAnsi="新宋体" w:eastAsia="仿宋_GB2312" w:cs="仿宋_GB2312"/>
                <w:b/>
                <w:kern w:val="0"/>
                <w:sz w:val="24"/>
                <w:szCs w:val="24"/>
              </w:rPr>
              <w:t>自评总分</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投入（1</w:t>
            </w:r>
            <w:r>
              <w:rPr>
                <w:rFonts w:hint="eastAsia" w:ascii="仿宋_GB2312" w:hAnsi="新宋体" w:eastAsia="仿宋_GB2312" w:cs="仿宋_GB2312"/>
                <w:kern w:val="0"/>
                <w:szCs w:val="21"/>
              </w:rPr>
              <w:t>0分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绩效</w:t>
            </w:r>
            <w:r>
              <w:rPr>
                <w:rFonts w:ascii="仿宋_GB2312" w:hAnsi="新宋体" w:eastAsia="仿宋_GB2312" w:cs="仿宋_GB2312"/>
                <w:kern w:val="0"/>
                <w:szCs w:val="21"/>
              </w:rPr>
              <w:t>目标设定</w:t>
            </w:r>
            <w:r>
              <w:rPr>
                <w:rFonts w:hint="eastAsia" w:ascii="仿宋_GB2312" w:hAnsi="新宋体" w:eastAsia="仿宋_GB2312" w:cs="仿宋_GB2312"/>
                <w:kern w:val="0"/>
                <w:szCs w:val="21"/>
              </w:rPr>
              <w:t>情</w:t>
            </w:r>
          </w:p>
          <w:p>
            <w:pPr>
              <w:widowControl/>
              <w:spacing w:line="240" w:lineRule="exact"/>
              <w:jc w:val="left"/>
              <w:rPr>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职责明确</w:t>
            </w:r>
          </w:p>
          <w:p>
            <w:pPr>
              <w:widowControl/>
              <w:spacing w:line="240" w:lineRule="exact"/>
              <w:jc w:val="left"/>
              <w:rPr>
                <w:szCs w:val="21"/>
              </w:rPr>
            </w:pPr>
            <w:r>
              <w:rPr>
                <w:rFonts w:ascii="仿宋_GB2312" w:hAnsi="新宋体" w:eastAsia="仿宋_GB2312" w:cs="仿宋_GB2312"/>
                <w:kern w:val="0"/>
                <w:szCs w:val="21"/>
              </w:rPr>
              <w:t>（1</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部门的职责设定是否符合“三定”方案中所赋予的职责，用以反映和评价部门工作的目的性与计划性。</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符合（1）；</w:t>
            </w:r>
          </w:p>
          <w:p>
            <w:pPr>
              <w:widowControl/>
              <w:spacing w:line="240" w:lineRule="exact"/>
              <w:jc w:val="left"/>
              <w:rPr>
                <w:szCs w:val="21"/>
              </w:rPr>
            </w:pPr>
            <w:r>
              <w:rPr>
                <w:rFonts w:ascii="仿宋_GB2312" w:hAnsi="新宋体" w:eastAsia="仿宋_GB2312" w:cs="仿宋_GB2312"/>
                <w:kern w:val="0"/>
                <w:szCs w:val="21"/>
              </w:rPr>
              <w:t>不符合（0）。</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35"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活动合规性</w:t>
            </w:r>
          </w:p>
          <w:p>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部门的活动是否在职责范围之内并符合部门中长期规划，用以反映和评价部门活动目标与部门履职、年度工作任务的相符性情况。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1.部门活动的设定在部门所确定的职责范围之内；</w:t>
            </w:r>
          </w:p>
          <w:p>
            <w:pPr>
              <w:widowControl/>
              <w:spacing w:line="240" w:lineRule="exact"/>
              <w:jc w:val="left"/>
              <w:rPr>
                <w:szCs w:val="21"/>
              </w:rPr>
            </w:pPr>
            <w:r>
              <w:rPr>
                <w:rFonts w:ascii="仿宋_GB2312" w:hAnsi="新宋体" w:eastAsia="仿宋_GB2312" w:cs="仿宋_GB2312"/>
                <w:kern w:val="0"/>
                <w:szCs w:val="21"/>
              </w:rPr>
              <w:t>2.部门活动符合</w:t>
            </w:r>
            <w:r>
              <w:rPr>
                <w:rFonts w:hint="eastAsia" w:ascii="仿宋_GB2312" w:hAnsi="新宋体" w:eastAsia="仿宋_GB2312" w:cs="仿宋_GB2312"/>
                <w:kern w:val="0"/>
                <w:szCs w:val="21"/>
              </w:rPr>
              <w:t>市</w:t>
            </w:r>
            <w:r>
              <w:rPr>
                <w:rFonts w:ascii="仿宋_GB2312" w:hAnsi="新宋体" w:eastAsia="仿宋_GB2312" w:cs="仿宋_GB2312"/>
                <w:kern w:val="0"/>
                <w:szCs w:val="21"/>
              </w:rPr>
              <w:t>委、</w:t>
            </w:r>
            <w:r>
              <w:rPr>
                <w:rFonts w:hint="eastAsia" w:ascii="仿宋_GB2312" w:hAnsi="新宋体" w:eastAsia="仿宋_GB2312" w:cs="仿宋_GB2312"/>
                <w:kern w:val="0"/>
                <w:szCs w:val="21"/>
              </w:rPr>
              <w:t>市</w:t>
            </w:r>
            <w:r>
              <w:rPr>
                <w:rFonts w:ascii="仿宋_GB2312" w:hAnsi="新宋体" w:eastAsia="仿宋_GB2312" w:cs="仿宋_GB2312"/>
                <w:kern w:val="0"/>
                <w:szCs w:val="21"/>
              </w:rPr>
              <w:t>政府的发展规划及本部门的年度工作安排与发展规划。</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全部符合（2）；</w:t>
            </w:r>
          </w:p>
          <w:p>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活动合理性</w:t>
            </w:r>
          </w:p>
          <w:p>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部门所设立的活动是否明确合理、活动的关键性指标设置是否可衡量，用以反映和评价部门活动目标设定的合理性。</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1.活动目标的设定是可量化的，可通过清晰、可衡量的关键指标值予以体现；</w:t>
            </w:r>
          </w:p>
          <w:p>
            <w:pPr>
              <w:widowControl/>
              <w:spacing w:line="240" w:lineRule="exact"/>
              <w:jc w:val="left"/>
              <w:rPr>
                <w:szCs w:val="21"/>
              </w:rPr>
            </w:pPr>
            <w:r>
              <w:rPr>
                <w:rFonts w:ascii="仿宋_GB2312" w:hAnsi="新宋体" w:eastAsia="仿宋_GB2312" w:cs="仿宋_GB2312"/>
                <w:kern w:val="0"/>
                <w:szCs w:val="21"/>
              </w:rPr>
              <w:t>2.在活动目标设定时，将关键指标明细分解为具体的达成目标与工作任务。</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全部符合（2）；</w:t>
            </w:r>
          </w:p>
          <w:p>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51"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restart"/>
            <w:tcBorders>
              <w:top w:val="single" w:color="000000" w:sz="4" w:space="0"/>
              <w:left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预算配置</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559" w:type="dxa"/>
            <w:tcBorders>
              <w:top w:val="single" w:color="auto" w:sz="4" w:space="0"/>
              <w:left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在职人员控制率（</w:t>
            </w:r>
            <w:r>
              <w:rPr>
                <w:rFonts w:hint="eastAsia" w:ascii="仿宋_GB2312" w:hAnsi="新宋体" w:eastAsia="仿宋_GB2312" w:cs="仿宋_GB2312"/>
                <w:kern w:val="0"/>
                <w:szCs w:val="21"/>
              </w:rPr>
              <w:t>1分</w:t>
            </w:r>
            <w:r>
              <w:rPr>
                <w:rFonts w:ascii="仿宋_GB2312" w:hAnsi="新宋体" w:eastAsia="仿宋_GB2312" w:cs="仿宋_GB2312"/>
                <w:kern w:val="0"/>
                <w:szCs w:val="21"/>
              </w:rPr>
              <w:t>）</w:t>
            </w:r>
          </w:p>
        </w:tc>
        <w:tc>
          <w:tcPr>
            <w:tcW w:w="3260"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部门本年度实际在职人员数与编制数的比率，用以反映和评价部门对人员成本的控制程度。</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在职人员控制率=（在职人员数/编制数）×100%。</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在职人员数：部门实际在职人数，以财政部确定的部门决算编制口径为准，由编制部门和人劳部门批复同意的临聘人员除外。</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编制数：机构编制部门核定批复的部门人员编制数。</w:t>
            </w:r>
          </w:p>
        </w:tc>
        <w:tc>
          <w:tcPr>
            <w:tcW w:w="2552"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1.在职人员控制率小于或等于100%的，得满分；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2.在职人员控制率大于或等于115%的，得0分；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3.在职人员控制率在100%-115%之间的，在0分和满分之间计算确定：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得分=[max（在职人员控制率）－某部门在职人员控制率]/[max（在职人员控制率）－min（在职人员控制率）]×该指标分值。</w:t>
            </w: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restart"/>
            <w:tcBorders>
              <w:top w:val="single" w:color="000000" w:sz="4" w:space="0"/>
              <w:left w:val="single" w:color="000000" w:sz="4" w:space="0"/>
              <w:right w:val="single" w:color="000000" w:sz="4" w:space="0"/>
            </w:tcBorders>
            <w:vAlign w:val="center"/>
          </w:tcPr>
          <w:p>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“三公经费”变动率（2分）</w:t>
            </w:r>
          </w:p>
        </w:tc>
        <w:tc>
          <w:tcPr>
            <w:tcW w:w="3260"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三公经费”预算数与上年度“三公经费”预算数的变动比率，用以反映和考核部门对控制重点行政成本的努力程度。“三公经费”变动率=[（本年度“三公经费”总额-上年度“三公经费”总额）/上年度“三公经费”总额]×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“三公经费”：年度预算安排的因公出国（境）费、公务车辆购置及运行费和公务招待费。</w:t>
            </w:r>
          </w:p>
        </w:tc>
        <w:tc>
          <w:tcPr>
            <w:tcW w:w="2552"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小于或等于</w:t>
            </w:r>
            <w:r>
              <w:rPr>
                <w:rFonts w:hint="eastAsia" w:ascii="仿宋_GB2312" w:hAnsi="新宋体" w:eastAsia="仿宋_GB2312" w:cs="仿宋_GB2312"/>
                <w:kern w:val="0"/>
                <w:szCs w:val="21"/>
              </w:rPr>
              <w:t>-5</w:t>
            </w:r>
            <w:r>
              <w:rPr>
                <w:rFonts w:ascii="仿宋_GB2312" w:hAnsi="新宋体" w:eastAsia="仿宋_GB2312" w:cs="仿宋_GB2312"/>
                <w:kern w:val="0"/>
                <w:szCs w:val="21"/>
              </w:rPr>
              <w:t>%的，得满分；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大于或等于1</w:t>
            </w:r>
            <w:r>
              <w:rPr>
                <w:rFonts w:hint="eastAsia" w:ascii="仿宋_GB2312" w:hAnsi="新宋体" w:eastAsia="仿宋_GB2312" w:cs="仿宋_GB2312"/>
                <w:kern w:val="0"/>
                <w:szCs w:val="21"/>
              </w:rPr>
              <w:t>0</w:t>
            </w:r>
            <w:r>
              <w:rPr>
                <w:rFonts w:ascii="仿宋_GB2312" w:hAnsi="新宋体" w:eastAsia="仿宋_GB2312" w:cs="仿宋_GB2312"/>
                <w:kern w:val="0"/>
                <w:szCs w:val="21"/>
              </w:rPr>
              <w:t>%的，得0分；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w:t>
            </w:r>
            <w:r>
              <w:rPr>
                <w:rFonts w:hint="eastAsia" w:ascii="仿宋_GB2312" w:hAnsi="新宋体" w:eastAsia="仿宋_GB2312" w:cs="仿宋_GB2312"/>
                <w:kern w:val="0"/>
                <w:szCs w:val="21"/>
              </w:rPr>
              <w:t>-5</w:t>
            </w:r>
            <w:r>
              <w:rPr>
                <w:rFonts w:ascii="仿宋_GB2312" w:hAnsi="新宋体" w:eastAsia="仿宋_GB2312" w:cs="仿宋_GB2312"/>
                <w:kern w:val="0"/>
                <w:szCs w:val="21"/>
              </w:rPr>
              <w:t>%-</w:t>
            </w:r>
            <w:r>
              <w:rPr>
                <w:rFonts w:hint="eastAsia" w:ascii="仿宋_GB2312" w:hAnsi="新宋体" w:eastAsia="仿宋_GB2312" w:cs="仿宋_GB2312"/>
                <w:kern w:val="0"/>
                <w:szCs w:val="21"/>
              </w:rPr>
              <w:t>10</w:t>
            </w:r>
            <w:r>
              <w:rPr>
                <w:rFonts w:ascii="仿宋_GB2312" w:hAnsi="新宋体" w:eastAsia="仿宋_GB2312" w:cs="仿宋_GB2312"/>
                <w:kern w:val="0"/>
                <w:szCs w:val="21"/>
              </w:rPr>
              <w:t>%之间的，在0分和满分之间计算确定：</w:t>
            </w:r>
          </w:p>
          <w:p>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得分=[max（</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]/[max（</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）－min（</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continue"/>
            <w:tcBorders>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left w:val="single" w:color="000000" w:sz="4" w:space="0"/>
              <w:bottom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重点支出安排率（2分）</w:t>
            </w:r>
          </w:p>
        </w:tc>
        <w:tc>
          <w:tcPr>
            <w:tcW w:w="3260"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项目总支出：部门（单位）年度预算安排的项目支出总额。</w:t>
            </w:r>
          </w:p>
        </w:tc>
        <w:tc>
          <w:tcPr>
            <w:tcW w:w="2552"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在85%-95%之间的，在0分和满分之间计算确定：</w:t>
            </w:r>
          </w:p>
          <w:p>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得分=[某部门</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）]/[max（</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过程(</w:t>
            </w:r>
            <w:r>
              <w:rPr>
                <w:rFonts w:hint="eastAsia" w:ascii="仿宋_GB2312" w:hAnsi="新宋体" w:eastAsia="仿宋_GB2312" w:cs="仿宋_GB2312"/>
                <w:kern w:val="0"/>
                <w:szCs w:val="21"/>
              </w:rPr>
              <w:t>45分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预算执行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25分</w:t>
            </w:r>
            <w:r>
              <w:rPr>
                <w:rFonts w:ascii="仿宋_GB2312" w:hAnsi="新宋体" w:eastAsia="仿宋_GB2312" w:cs="仿宋_GB2312"/>
                <w:kern w:val="0"/>
                <w:szCs w:val="21"/>
              </w:rPr>
              <w:t>)</w:t>
            </w: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预算完成率</w:t>
            </w:r>
          </w:p>
          <w:p>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通过对部门本年度预算完成数与预算数的比较，反映和评价部门预算的完成程度。</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预算完成率=（预算完成数/预算数）×100%。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1.预算完成率大于或等于95%的，得满分；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2.预算完成率小于或等于85%的，得0分；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3.预算完成率在85%-95%之间的，在0分和满分之间计算确定：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得分=[某部门预算完成率-min（预算完成率）]/[max（预算完成率）－min（预算完成率）]×该指标分值。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3"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预算调整率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部门本年度预算调整数与预算数的比率，用以反映和评价部门预算的调整程度。</w:t>
            </w:r>
          </w:p>
          <w:p>
            <w:pPr>
              <w:widowControl/>
              <w:spacing w:line="240" w:lineRule="exact"/>
              <w:jc w:val="left"/>
              <w:rPr>
                <w:szCs w:val="21"/>
              </w:rPr>
            </w:pPr>
            <w:r>
              <w:rPr>
                <w:rFonts w:ascii="仿宋_GB2312" w:hAnsi="新宋体" w:eastAsia="仿宋_GB2312" w:cs="仿宋_GB2312"/>
                <w:kern w:val="0"/>
                <w:szCs w:val="21"/>
              </w:rPr>
              <w:t>预算调整率=（预算调整数/预算数）×100%。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 xml:space="preserve">1.预算调整率等于0的，得满分； </w:t>
            </w:r>
          </w:p>
          <w:p>
            <w:pPr>
              <w:widowControl/>
              <w:spacing w:line="240" w:lineRule="exact"/>
              <w:jc w:val="left"/>
              <w:rPr>
                <w:szCs w:val="21"/>
              </w:rPr>
            </w:pPr>
            <w:r>
              <w:rPr>
                <w:rFonts w:ascii="仿宋_GB2312" w:hAnsi="新宋体" w:eastAsia="仿宋_GB2312" w:cs="仿宋_GB2312"/>
                <w:kern w:val="0"/>
                <w:szCs w:val="21"/>
              </w:rPr>
              <w:t>2.预算调整率大于或等于10%的，得0分；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3.预算调整率在0-10%之间的，在0分和满分之间确定：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得分=［max（预算调整率）-某部门预算调整率］/［max（预算调整率）-min（预算调整率）］×该指标分值。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92"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支付进度率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度支付数与</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度任务数的比率，用以反映和评价部门预算执行的及时和均衡程度。</w:t>
            </w:r>
          </w:p>
          <w:p>
            <w:pPr>
              <w:widowControl/>
              <w:spacing w:line="240" w:lineRule="exact"/>
              <w:jc w:val="left"/>
              <w:rPr>
                <w:szCs w:val="21"/>
              </w:rPr>
            </w:pPr>
            <w:r>
              <w:rPr>
                <w:rFonts w:ascii="仿宋_GB2312" w:hAnsi="新宋体" w:eastAsia="仿宋_GB2312" w:cs="仿宋_GB2312"/>
                <w:kern w:val="0"/>
                <w:szCs w:val="21"/>
              </w:rPr>
              <w:t>支付进度率=（</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按</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度的执行情况进行打分</w:t>
            </w:r>
            <w:r>
              <w:rPr>
                <w:rFonts w:hint="eastAsia" w:ascii="仿宋_GB2312" w:hAnsi="新宋体" w:eastAsia="仿宋_GB2312" w:cs="仿宋_GB2312"/>
                <w:kern w:val="0"/>
                <w:szCs w:val="21"/>
              </w:rPr>
              <w:t>。</w:t>
            </w:r>
            <w:r>
              <w:rPr>
                <w:rFonts w:ascii="仿宋_GB2312" w:hAnsi="新宋体" w:eastAsia="仿宋_GB2312" w:cs="仿宋_GB2312"/>
                <w:kern w:val="0"/>
                <w:szCs w:val="21"/>
              </w:rPr>
              <w:t>得分=</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度任务数×该指标分值。</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结转</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结余率</w:t>
            </w:r>
          </w:p>
          <w:p>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通过对部门本年度结转结余总额与支出预算数的比较，反映和评价部门对本年度结转结余资金的实际控制程度。</w:t>
            </w:r>
          </w:p>
          <w:p>
            <w:pPr>
              <w:widowControl/>
              <w:spacing w:line="240" w:lineRule="exact"/>
              <w:jc w:val="left"/>
              <w:rPr>
                <w:szCs w:val="21"/>
              </w:rPr>
            </w:pPr>
            <w:r>
              <w:rPr>
                <w:rFonts w:ascii="仿宋_GB2312" w:hAnsi="新宋体" w:eastAsia="仿宋_GB2312" w:cs="仿宋_GB2312"/>
                <w:kern w:val="0"/>
                <w:szCs w:val="21"/>
              </w:rPr>
              <w:t>结转结余率=（结转结余总额/支出预算数）×100%。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1.结转结余率等于0的，得满分；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2.结转结余率大于或等于50%的，得0分；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3.结转结余率在0-50%之间的，在0和满分之间计算确定：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得分=[max（结转结余率）－某部门结转结余率]/[max（结转结余率）－min（结转结余率）]×该指标分值。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公用经费</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控制率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通过对部门本年度实际支出的公用经费总额与预算安排的公用经费总额的比率，反映和评价部门对机构运转成本的实际控制程度。</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公用经费控制率=（实际支出公用经费总额/预算安排公用经费总额）×100%。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1.公用经费控制率小于或等于100%的，得满分；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2.公用经费控制率大于或等于105%的，得0分；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3.公用经费控制率在100%-105%之间的，在0和满分之间计算确定：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得分=［max（公用经费控制率）-某部门公用经费控制率］/［max（公用经费控制率）-min（公用经费控制率）］×该指标分值。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政府采购</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执行率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通过对部门本年度实际政府采购预算项目个数与政府采购预算项目个数的比较，反映和评价部门政府采购预算执行情况。</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政府采购执行率=（实际政府采购预算项目个数/政府采购预算项目个数）×100%。</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政府采购项目中非预算内安排的项目除外。</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1.政府采购执行率等于100%的，得满分；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2.政府采购执行率小于或等于90%的，0分；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3.政府采购执行率在90%-100%之间的，在0和满分之间计算确定：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得分=［某部门政府采购执行率-min（政府采购执行率）］/［max（政府采购执行率）-min（政府采购执行率）］×该指标分值。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预算管理</w:t>
            </w:r>
            <w:r>
              <w:rPr>
                <w:rFonts w:hint="eastAsia" w:ascii="仿宋_GB2312" w:hAnsi="新宋体" w:eastAsia="仿宋_GB2312" w:cs="仿宋_GB2312"/>
                <w:kern w:val="0"/>
                <w:szCs w:val="21"/>
              </w:rPr>
              <w:t>情况</w:t>
            </w:r>
          </w:p>
          <w:p>
            <w:pPr>
              <w:widowControl/>
              <w:spacing w:line="240" w:lineRule="exact"/>
              <w:jc w:val="left"/>
              <w:rPr>
                <w:szCs w:val="21"/>
              </w:rPr>
            </w:pPr>
            <w:r>
              <w:rPr>
                <w:rFonts w:ascii="仿宋_GB2312" w:hAnsi="新宋体" w:eastAsia="仿宋_GB2312" w:cs="仿宋_GB2312"/>
                <w:kern w:val="0"/>
                <w:szCs w:val="21"/>
              </w:rPr>
              <w:t>（15）</w:t>
            </w: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资金使用</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合规性</w:t>
            </w:r>
          </w:p>
          <w:p>
            <w:pPr>
              <w:widowControl/>
              <w:spacing w:line="240" w:lineRule="exact"/>
              <w:jc w:val="left"/>
              <w:rPr>
                <w:szCs w:val="21"/>
              </w:rPr>
            </w:pPr>
            <w:r>
              <w:rPr>
                <w:rFonts w:ascii="仿宋_GB2312" w:hAnsi="新宋体" w:eastAsia="仿宋_GB2312" w:cs="仿宋_GB2312"/>
                <w:kern w:val="0"/>
                <w:szCs w:val="21"/>
              </w:rPr>
              <w:t>（8</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部门使用预算资金是否符合相关的预算财务管理制度的规定，反映和评价部门预算资金的规范运行情况。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1.符合国家财经法规和财务管理制度规定以及有关部门资金管理办法的规定；</w:t>
            </w:r>
          </w:p>
          <w:p>
            <w:pPr>
              <w:widowControl/>
              <w:spacing w:line="240" w:lineRule="exact"/>
              <w:jc w:val="left"/>
              <w:rPr>
                <w:szCs w:val="21"/>
              </w:rPr>
            </w:pPr>
            <w:r>
              <w:rPr>
                <w:rFonts w:ascii="仿宋_GB2312" w:hAnsi="新宋体" w:eastAsia="仿宋_GB2312" w:cs="仿宋_GB2312"/>
                <w:kern w:val="0"/>
                <w:szCs w:val="21"/>
              </w:rPr>
              <w:t>2.资金的拨付有完整的审批过程和手续；</w:t>
            </w:r>
          </w:p>
          <w:p>
            <w:pPr>
              <w:widowControl/>
              <w:spacing w:line="240" w:lineRule="exact"/>
              <w:jc w:val="left"/>
              <w:rPr>
                <w:szCs w:val="21"/>
              </w:rPr>
            </w:pPr>
            <w:r>
              <w:rPr>
                <w:rFonts w:ascii="仿宋_GB2312" w:hAnsi="新宋体" w:eastAsia="仿宋_GB2312" w:cs="仿宋_GB2312"/>
                <w:kern w:val="0"/>
                <w:szCs w:val="21"/>
              </w:rPr>
              <w:t>3.项目的重大开支经过评估论证；</w:t>
            </w:r>
          </w:p>
          <w:p>
            <w:pPr>
              <w:widowControl/>
              <w:spacing w:line="240" w:lineRule="exact"/>
              <w:jc w:val="left"/>
              <w:rPr>
                <w:szCs w:val="21"/>
              </w:rPr>
            </w:pPr>
            <w:r>
              <w:rPr>
                <w:rFonts w:ascii="仿宋_GB2312" w:hAnsi="新宋体" w:eastAsia="仿宋_GB2312" w:cs="仿宋_GB2312"/>
                <w:kern w:val="0"/>
                <w:szCs w:val="21"/>
              </w:rPr>
              <w:t>4.符合部门预算批复的用途；</w:t>
            </w:r>
          </w:p>
          <w:p>
            <w:pPr>
              <w:widowControl/>
              <w:spacing w:line="240" w:lineRule="exact"/>
              <w:jc w:val="left"/>
              <w:rPr>
                <w:szCs w:val="21"/>
              </w:rPr>
            </w:pPr>
            <w:r>
              <w:rPr>
                <w:rFonts w:ascii="仿宋_GB2312" w:hAnsi="新宋体" w:eastAsia="仿宋_GB2312" w:cs="仿宋_GB2312"/>
                <w:kern w:val="0"/>
                <w:szCs w:val="21"/>
              </w:rPr>
              <w:t>5.不存在截留情况；</w:t>
            </w:r>
          </w:p>
          <w:p>
            <w:pPr>
              <w:widowControl/>
              <w:spacing w:line="240" w:lineRule="exact"/>
              <w:jc w:val="left"/>
              <w:rPr>
                <w:szCs w:val="21"/>
              </w:rPr>
            </w:pPr>
            <w:r>
              <w:rPr>
                <w:rFonts w:ascii="仿宋_GB2312" w:hAnsi="新宋体" w:eastAsia="仿宋_GB2312" w:cs="仿宋_GB2312"/>
                <w:kern w:val="0"/>
                <w:szCs w:val="21"/>
              </w:rPr>
              <w:t>6.不存在挤占情况；</w:t>
            </w:r>
          </w:p>
          <w:p>
            <w:pPr>
              <w:widowControl/>
              <w:spacing w:line="240" w:lineRule="exact"/>
              <w:jc w:val="left"/>
              <w:rPr>
                <w:szCs w:val="21"/>
              </w:rPr>
            </w:pPr>
            <w:r>
              <w:rPr>
                <w:rFonts w:ascii="仿宋_GB2312" w:hAnsi="新宋体" w:eastAsia="仿宋_GB2312" w:cs="仿宋_GB2312"/>
                <w:kern w:val="0"/>
                <w:szCs w:val="21"/>
              </w:rPr>
              <w:t>7.不存在挪用情况；</w:t>
            </w:r>
          </w:p>
          <w:p>
            <w:pPr>
              <w:widowControl/>
              <w:spacing w:line="240" w:lineRule="exact"/>
              <w:jc w:val="left"/>
              <w:rPr>
                <w:szCs w:val="21"/>
              </w:rPr>
            </w:pPr>
            <w:r>
              <w:rPr>
                <w:rFonts w:ascii="仿宋_GB2312" w:hAnsi="新宋体" w:eastAsia="仿宋_GB2312" w:cs="仿宋_GB2312"/>
                <w:kern w:val="0"/>
                <w:szCs w:val="21"/>
              </w:rPr>
              <w:t>8.不存在虚列支出情况。</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全部符合（8）；</w:t>
            </w:r>
          </w:p>
          <w:p>
            <w:pPr>
              <w:widowControl/>
              <w:spacing w:line="240" w:lineRule="exact"/>
              <w:jc w:val="left"/>
              <w:rPr>
                <w:szCs w:val="21"/>
              </w:rPr>
            </w:pPr>
            <w:r>
              <w:rPr>
                <w:rFonts w:ascii="仿宋_GB2312" w:hAnsi="新宋体" w:eastAsia="仿宋_GB2312" w:cs="仿宋_GB2312"/>
                <w:kern w:val="0"/>
                <w:szCs w:val="21"/>
              </w:rPr>
              <w:t>符合其中七项（6）；</w:t>
            </w:r>
          </w:p>
          <w:p>
            <w:pPr>
              <w:widowControl/>
              <w:spacing w:line="240" w:lineRule="exact"/>
              <w:jc w:val="left"/>
              <w:rPr>
                <w:szCs w:val="21"/>
              </w:rPr>
            </w:pPr>
            <w:r>
              <w:rPr>
                <w:rFonts w:ascii="仿宋_GB2312" w:hAnsi="新宋体" w:eastAsia="仿宋_GB2312" w:cs="仿宋_GB2312"/>
                <w:kern w:val="0"/>
                <w:szCs w:val="21"/>
              </w:rPr>
              <w:t>符合其中六项（4）；</w:t>
            </w:r>
          </w:p>
          <w:p>
            <w:pPr>
              <w:widowControl/>
              <w:spacing w:line="240" w:lineRule="exact"/>
              <w:jc w:val="left"/>
              <w:rPr>
                <w:szCs w:val="21"/>
              </w:rPr>
            </w:pPr>
            <w:r>
              <w:rPr>
                <w:rFonts w:ascii="仿宋_GB2312" w:hAnsi="新宋体" w:eastAsia="仿宋_GB2312" w:cs="仿宋_GB2312"/>
                <w:kern w:val="0"/>
                <w:szCs w:val="21"/>
              </w:rPr>
              <w:t>符合其中五项（2）；</w:t>
            </w:r>
          </w:p>
          <w:p>
            <w:pPr>
              <w:widowControl/>
              <w:spacing w:line="240" w:lineRule="exact"/>
              <w:jc w:val="left"/>
              <w:rPr>
                <w:szCs w:val="21"/>
              </w:rPr>
            </w:pPr>
            <w:r>
              <w:rPr>
                <w:rFonts w:ascii="仿宋_GB2312" w:hAnsi="新宋体" w:eastAsia="仿宋_GB2312" w:cs="仿宋_GB2312"/>
                <w:kern w:val="0"/>
                <w:szCs w:val="21"/>
              </w:rPr>
              <w:t>符合其中四项及以下（0）。</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预决算信息</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公开性</w:t>
            </w:r>
          </w:p>
          <w:p>
            <w:pPr>
              <w:widowControl/>
              <w:spacing w:line="240" w:lineRule="exact"/>
              <w:jc w:val="left"/>
              <w:rPr>
                <w:szCs w:val="21"/>
              </w:rPr>
            </w:pPr>
            <w:r>
              <w:rPr>
                <w:rFonts w:ascii="仿宋_GB2312" w:hAnsi="新宋体" w:eastAsia="仿宋_GB2312" w:cs="仿宋_GB2312"/>
                <w:kern w:val="0"/>
                <w:szCs w:val="21"/>
              </w:rPr>
              <w:t>（3</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部门是否按照政府信息公开有关规定公开相关预决算信息，用以反映和评价部门预决算管理的公开透明情况。</w:t>
            </w:r>
          </w:p>
          <w:p>
            <w:pPr>
              <w:widowControl/>
              <w:spacing w:line="240" w:lineRule="exact"/>
              <w:jc w:val="left"/>
              <w:rPr>
                <w:szCs w:val="21"/>
              </w:rPr>
            </w:pPr>
            <w:r>
              <w:rPr>
                <w:rFonts w:ascii="仿宋_GB2312" w:hAnsi="新宋体" w:eastAsia="仿宋_GB2312" w:cs="仿宋_GB2312"/>
                <w:kern w:val="0"/>
                <w:szCs w:val="21"/>
              </w:rPr>
              <w:t>预决算信息是指与部门预算、执行、决算、监督、绩效等管理相关的信息。</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1.公开预决算信息；</w:t>
            </w:r>
          </w:p>
          <w:p>
            <w:pPr>
              <w:widowControl/>
              <w:spacing w:line="240" w:lineRule="exact"/>
              <w:jc w:val="left"/>
              <w:rPr>
                <w:szCs w:val="21"/>
              </w:rPr>
            </w:pPr>
            <w:r>
              <w:rPr>
                <w:rFonts w:ascii="仿宋_GB2312" w:hAnsi="新宋体" w:eastAsia="仿宋_GB2312" w:cs="仿宋_GB2312"/>
                <w:kern w:val="0"/>
                <w:szCs w:val="21"/>
              </w:rPr>
              <w:t>2.按规定内容公开预决算信息；</w:t>
            </w:r>
          </w:p>
          <w:p>
            <w:pPr>
              <w:widowControl/>
              <w:spacing w:line="240" w:lineRule="exact"/>
              <w:jc w:val="left"/>
              <w:rPr>
                <w:szCs w:val="21"/>
              </w:rPr>
            </w:pPr>
            <w:r>
              <w:rPr>
                <w:rFonts w:ascii="仿宋_GB2312" w:hAnsi="新宋体" w:eastAsia="仿宋_GB2312" w:cs="仿宋_GB2312"/>
                <w:kern w:val="0"/>
                <w:szCs w:val="21"/>
              </w:rPr>
              <w:t>3.按规定时限公开预决算信息。</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全部符合（3）；</w:t>
            </w:r>
          </w:p>
          <w:p>
            <w:pPr>
              <w:widowControl/>
              <w:spacing w:line="240" w:lineRule="exact"/>
              <w:jc w:val="left"/>
              <w:rPr>
                <w:szCs w:val="21"/>
              </w:rPr>
            </w:pPr>
            <w:r>
              <w:rPr>
                <w:rFonts w:ascii="仿宋_GB2312" w:hAnsi="新宋体" w:eastAsia="仿宋_GB2312" w:cs="仿宋_GB2312"/>
                <w:kern w:val="0"/>
                <w:szCs w:val="21"/>
              </w:rPr>
              <w:t>符合其中两项（2）</w:t>
            </w:r>
          </w:p>
          <w:p>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基础信息</w:t>
            </w:r>
          </w:p>
          <w:p>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完善性</w:t>
            </w:r>
          </w:p>
          <w:p>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部门基础信息是否完善，用以反映和评价基础信息对预算管理工作的支撑情况。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1.基本财务管理制度健全；</w:t>
            </w:r>
          </w:p>
          <w:p>
            <w:pPr>
              <w:widowControl/>
              <w:spacing w:line="240" w:lineRule="exact"/>
              <w:jc w:val="left"/>
              <w:rPr>
                <w:szCs w:val="21"/>
              </w:rPr>
            </w:pPr>
            <w:r>
              <w:rPr>
                <w:rFonts w:ascii="仿宋_GB2312" w:hAnsi="新宋体" w:eastAsia="仿宋_GB2312" w:cs="仿宋_GB2312"/>
                <w:kern w:val="0"/>
                <w:szCs w:val="21"/>
              </w:rPr>
              <w:t>2.基础数据信息和会计信息资料真实；</w:t>
            </w:r>
          </w:p>
          <w:p>
            <w:pPr>
              <w:widowControl/>
              <w:spacing w:line="240" w:lineRule="exact"/>
              <w:jc w:val="left"/>
              <w:rPr>
                <w:szCs w:val="21"/>
              </w:rPr>
            </w:pPr>
            <w:r>
              <w:rPr>
                <w:rFonts w:ascii="仿宋_GB2312" w:hAnsi="新宋体" w:eastAsia="仿宋_GB2312" w:cs="仿宋_GB2312"/>
                <w:kern w:val="0"/>
                <w:szCs w:val="21"/>
              </w:rPr>
              <w:t>3.基础数据信息和会计信息资料完整；</w:t>
            </w:r>
          </w:p>
          <w:p>
            <w:pPr>
              <w:widowControl/>
              <w:spacing w:line="240" w:lineRule="exact"/>
              <w:jc w:val="left"/>
              <w:rPr>
                <w:szCs w:val="21"/>
              </w:rPr>
            </w:pPr>
            <w:r>
              <w:rPr>
                <w:rFonts w:ascii="仿宋_GB2312" w:hAnsi="新宋体" w:eastAsia="仿宋_GB2312" w:cs="仿宋_GB2312"/>
                <w:kern w:val="0"/>
                <w:szCs w:val="21"/>
              </w:rPr>
              <w:t>4.基础数据信息和会计信息资料准确。</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符合全部四项（4）；</w:t>
            </w:r>
          </w:p>
          <w:p>
            <w:pPr>
              <w:widowControl/>
              <w:spacing w:line="240" w:lineRule="exact"/>
              <w:jc w:val="left"/>
              <w:rPr>
                <w:szCs w:val="21"/>
              </w:rPr>
            </w:pPr>
            <w:r>
              <w:rPr>
                <w:rFonts w:ascii="仿宋_GB2312" w:hAnsi="新宋体" w:eastAsia="仿宋_GB2312" w:cs="仿宋_GB2312"/>
                <w:kern w:val="0"/>
                <w:szCs w:val="21"/>
              </w:rPr>
              <w:t>符合其中三项（2）；</w:t>
            </w:r>
          </w:p>
          <w:p>
            <w:pPr>
              <w:widowControl/>
              <w:spacing w:line="240" w:lineRule="exact"/>
              <w:jc w:val="left"/>
              <w:rPr>
                <w:szCs w:val="21"/>
              </w:rPr>
            </w:pPr>
            <w:r>
              <w:rPr>
                <w:rFonts w:ascii="仿宋_GB2312" w:hAnsi="新宋体" w:eastAsia="仿宋_GB2312" w:cs="仿宋_GB2312"/>
                <w:kern w:val="0"/>
                <w:szCs w:val="21"/>
              </w:rPr>
              <w:t>符合其中两项（1）；</w:t>
            </w:r>
          </w:p>
          <w:p>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资产管理</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资产管理</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完整性</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2分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部门的资产是否保存完整、使用合规、收入及时足额上缴，用以反映和评价部门资产运行情况。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1.资产保存完整；</w:t>
            </w:r>
          </w:p>
          <w:p>
            <w:pPr>
              <w:widowControl/>
              <w:spacing w:line="240" w:lineRule="exact"/>
              <w:jc w:val="left"/>
              <w:rPr>
                <w:szCs w:val="21"/>
              </w:rPr>
            </w:pPr>
            <w:r>
              <w:rPr>
                <w:rFonts w:ascii="仿宋_GB2312" w:hAnsi="新宋体" w:eastAsia="仿宋_GB2312" w:cs="仿宋_GB2312"/>
                <w:kern w:val="0"/>
                <w:szCs w:val="21"/>
              </w:rPr>
              <w:t>2.资产账务管理是否合规，帐实相符；</w:t>
            </w:r>
          </w:p>
          <w:p>
            <w:pPr>
              <w:widowControl/>
              <w:spacing w:line="240" w:lineRule="exact"/>
              <w:jc w:val="left"/>
              <w:rPr>
                <w:szCs w:val="21"/>
              </w:rPr>
            </w:pPr>
            <w:r>
              <w:rPr>
                <w:rFonts w:ascii="仿宋_GB2312" w:hAnsi="新宋体" w:eastAsia="仿宋_GB2312" w:cs="仿宋_GB2312"/>
                <w:kern w:val="0"/>
                <w:szCs w:val="21"/>
              </w:rPr>
              <w:t>3.资产有偿使用及处置收入及时足额上缴。</w:t>
            </w:r>
          </w:p>
        </w:tc>
        <w:tc>
          <w:tcPr>
            <w:tcW w:w="2552"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符合全部三项（3）；</w:t>
            </w:r>
          </w:p>
          <w:p>
            <w:pPr>
              <w:widowControl/>
              <w:spacing w:line="240" w:lineRule="exact"/>
              <w:jc w:val="left"/>
              <w:rPr>
                <w:szCs w:val="21"/>
              </w:rPr>
            </w:pPr>
            <w:r>
              <w:rPr>
                <w:rFonts w:ascii="仿宋_GB2312" w:hAnsi="新宋体" w:eastAsia="仿宋_GB2312" w:cs="仿宋_GB2312"/>
                <w:kern w:val="0"/>
                <w:szCs w:val="21"/>
              </w:rPr>
              <w:t>符合其中两项（2）；</w:t>
            </w:r>
          </w:p>
          <w:p>
            <w:pPr>
              <w:widowControl/>
              <w:spacing w:line="240" w:lineRule="exact"/>
              <w:jc w:val="left"/>
              <w:rPr>
                <w:szCs w:val="21"/>
              </w:rPr>
            </w:pPr>
            <w:r>
              <w:rPr>
                <w:rFonts w:ascii="仿宋_GB2312" w:hAnsi="新宋体" w:eastAsia="仿宋_GB2312" w:cs="仿宋_GB2312"/>
                <w:kern w:val="0"/>
                <w:szCs w:val="21"/>
              </w:rPr>
              <w:t>符合其中一项（1）；</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符合零项（0）。</w:t>
            </w: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8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固定资产</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利用率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部门实际在用固定资产总额与所有固定资产总额的比率，用以反映和评价部门固定资产使用效率。</w:t>
            </w:r>
          </w:p>
          <w:p>
            <w:pPr>
              <w:widowControl/>
              <w:spacing w:line="240" w:lineRule="exact"/>
              <w:jc w:val="left"/>
              <w:rPr>
                <w:szCs w:val="21"/>
              </w:rPr>
            </w:pPr>
            <w:r>
              <w:rPr>
                <w:rFonts w:ascii="仿宋_GB2312" w:hAnsi="新宋体" w:eastAsia="仿宋_GB2312" w:cs="仿宋_GB2312"/>
                <w:kern w:val="0"/>
                <w:szCs w:val="21"/>
              </w:rPr>
              <w:t>固定资产利用率=（实际在用固定资产总额/所有固定资产总额）×100%。</w:t>
            </w:r>
          </w:p>
        </w:tc>
        <w:tc>
          <w:tcPr>
            <w:tcW w:w="2552" w:type="dxa"/>
            <w:tcBorders>
              <w:top w:val="single" w:color="auto"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1.固定资产利用率大于或等于95%的，得满分；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2.固定资产利用率小于或等于85%的，得0分；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3.固定资产利用率在85%-95%之间的，在0和满分之间计算确定：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得分=［某部门固定资产利用率-min（固定资产利用率）］/［max（固定资产利用率）-min（固定资产利用率）］×该指标分值。</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产出(2</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职责履行</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（2</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w:t>
            </w:r>
          </w:p>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完成</w:t>
            </w:r>
          </w:p>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情况</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10分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1.每项任务是否已制定了明确、具体、可量化、可衡量的绩效指标；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2.每项任务绩效指标的完成情况，是全部完成、基本完成、未完成，还是未实施；</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3.每项任务实施效果情况，是优秀、良好、一般，还是无效果；</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4.每项任务是否建立了目标责任制，是否落实到具体部门和人员负责。</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根据不同部门履职的内容和特点，具体测算部门履职工作任务目标的完成情况。</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项目</w:t>
            </w:r>
            <w:r>
              <w:rPr>
                <w:rFonts w:hint="eastAsia" w:ascii="仿宋_GB2312" w:hAnsi="新宋体" w:eastAsia="仿宋_GB2312" w:cs="仿宋_GB2312"/>
                <w:kern w:val="0"/>
                <w:szCs w:val="21"/>
              </w:rPr>
              <w:t>完成</w:t>
            </w:r>
          </w:p>
          <w:p>
            <w:pPr>
              <w:widowControl/>
              <w:spacing w:line="240" w:lineRule="exact"/>
              <w:jc w:val="left"/>
              <w:rPr>
                <w:szCs w:val="21"/>
              </w:rPr>
            </w:pPr>
            <w:r>
              <w:rPr>
                <w:rFonts w:ascii="仿宋_GB2312" w:hAnsi="新宋体" w:eastAsia="仿宋_GB2312" w:cs="仿宋_GB2312"/>
                <w:kern w:val="0"/>
                <w:szCs w:val="21"/>
              </w:rPr>
              <w:t>质量达标率（</w:t>
            </w:r>
            <w:r>
              <w:rPr>
                <w:rFonts w:hint="eastAsia" w:ascii="仿宋_GB2312" w:hAnsi="新宋体" w:eastAsia="仿宋_GB2312" w:cs="仿宋_GB2312"/>
                <w:kern w:val="0"/>
                <w:szCs w:val="21"/>
              </w:rPr>
              <w:t>15</w:t>
            </w:r>
            <w:r>
              <w:rPr>
                <w:rFonts w:ascii="仿宋_GB2312" w:hAnsi="新宋体" w:eastAsia="仿宋_GB2312" w:cs="仿宋_GB2312"/>
                <w:kern w:val="0"/>
                <w:szCs w:val="21"/>
              </w:rPr>
              <w:t>）</w:t>
            </w:r>
          </w:p>
        </w:tc>
        <w:tc>
          <w:tcPr>
            <w:tcW w:w="3260"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部门已完成项目中质量达标项目个数占已完成项目个数的比率,用以反映和评价部门履职质量目标的实现程度。</w:t>
            </w:r>
          </w:p>
          <w:p>
            <w:pPr>
              <w:widowControl/>
              <w:spacing w:line="240" w:lineRule="exact"/>
              <w:jc w:val="left"/>
              <w:rPr>
                <w:szCs w:val="21"/>
              </w:rPr>
            </w:pPr>
            <w:r>
              <w:rPr>
                <w:rFonts w:ascii="仿宋_GB2312" w:hAnsi="新宋体" w:eastAsia="仿宋_GB2312" w:cs="仿宋_GB2312"/>
                <w:kern w:val="0"/>
                <w:szCs w:val="21"/>
              </w:rPr>
              <w:t>项目质量达标率=（已完成项目中质量达标项目个数/已完成项目个数）×100%。</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项目质量达标是指项目决算验收合格。</w:t>
            </w:r>
          </w:p>
        </w:tc>
        <w:tc>
          <w:tcPr>
            <w:tcW w:w="2552"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1.项目质量达标率等于100%的，得满分；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2.项目质量达标率小于或等于99%的，得0分；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 xml:space="preserve">3.项目质量达标率在99%-100%之间的，在0和满分之间计算确定： </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得分=［某部门项目质量达标率-min（项目质量达标率）］/［max（项目质量达标率）-min（项目质量达标率）］×该指标分值。</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效果（</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851" w:type="dxa"/>
            <w:vMerge w:val="restart"/>
            <w:tcBorders>
              <w:top w:val="single" w:color="auto" w:sz="4" w:space="0"/>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履职效益情况</w:t>
            </w:r>
          </w:p>
          <w:p>
            <w:pPr>
              <w:widowControl/>
              <w:spacing w:line="240" w:lineRule="exact"/>
              <w:jc w:val="left"/>
              <w:rPr>
                <w:rFonts w:ascii="仿宋_GB2312" w:hAnsi="新宋体" w:eastAsia="仿宋_GB2312" w:cs="仿宋_GB2312"/>
                <w:kern w:val="0"/>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20分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经济效益</w:t>
            </w:r>
          </w:p>
          <w:p>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部门及所属二级单位通过履行职责和预算安排支出项目的实施，对我市带来的经济影响。</w:t>
            </w:r>
          </w:p>
          <w:p>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1.通过部门所属企事业单位改革，促进了企事业单位效益增长情况；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2.通过预算支出项目的实施，促进了行业生产能力增长，从而带动行业经济效益增长；</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3.通过预算支出项目的实施，有效提高劳动效率，节约成本费用；</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4.通过预算支出项目的实施，降低了损耗，从而提高了生产效益；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5.通过预算支出项目的实施，完善了突发情况的监测预警，保障了生产安全，降低了生产损失。</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根据不同部门履职的内容和特点，具体测算部门履职产生的经济效益。</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社会效益</w:t>
            </w:r>
          </w:p>
          <w:p>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部门及所属二级单位履行职责对社会发展所带来的直接或间接影响。</w:t>
            </w:r>
          </w:p>
          <w:p>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1.通过部门所属企事业单位的改革，促进了企事业单位可持续发展，带动就业增长情况；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2.通过预算支出项目的实施，是否明显促进了行业精神文明建设；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3.通过部门履职是否明显提高城乡居民生活水平，满足了人们日益增长的物质与文化生活需求；</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4.通过预算项目的实施，是否提高了劳动生产率，降低了劳动强度，促进了劳动人民的身心健康；</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5.通过部门履职行业形象是否得到了大大提升了，增强了部门影响力。</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根据不同部门履职的内容和特点，具体测算部门履职产生的社会效益。</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生态效益</w:t>
            </w:r>
          </w:p>
          <w:p>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部门及所属二级单位履行职责对生态环境所带来的直接或间接影响。</w:t>
            </w:r>
          </w:p>
          <w:p>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1.通过预算支出项目的实施，绿色、节能环保新技术的应用和推广，明显带动各环节的节能减排，也具有一定的环境效益；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2.通过履职有效地控制虚假、伪劣、霉变等劣质产品进入市场，影响了人民生活质量，净化地市场环境；</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3.通过预算支出项目的实施，是否达到减少污染物排放；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4.通过预算支出项目的实施，周围环境得到了整治，面貌得到了改善。</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根据不同部门履职的内容和特点，具体测算部门履职产生的生态效益。</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hint="eastAsia" w:ascii="仿宋_GB2312" w:hAnsi="新宋体" w:eastAsia="仿宋_GB2312" w:cs="仿宋_GB2312"/>
                <w:kern w:val="0"/>
                <w:szCs w:val="21"/>
              </w:rPr>
              <w:t>服务对象</w:t>
            </w:r>
            <w:r>
              <w:rPr>
                <w:rFonts w:ascii="仿宋_GB2312" w:hAnsi="新宋体" w:eastAsia="仿宋_GB2312" w:cs="仿宋_GB2312"/>
                <w:kern w:val="0"/>
                <w:szCs w:val="21"/>
              </w:rPr>
              <w:t>满意度（5）</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hint="eastAsia" w:ascii="仿宋_GB2312" w:hAnsi="新宋体" w:eastAsia="仿宋_GB2312" w:cs="仿宋_GB2312"/>
                <w:kern w:val="0"/>
                <w:szCs w:val="21"/>
              </w:rPr>
              <w:t>通过对部门（单位）的服务对象对部门履职效果的满意程度调查，反映和考核社会公众或服务对象对部门履职的满意度。</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bl>
    <w:p>
      <w:pPr>
        <w:widowControl/>
        <w:spacing w:line="480" w:lineRule="exact"/>
        <w:jc w:val="left"/>
        <w:rPr>
          <w:rFonts w:ascii="仿宋" w:hAnsi="仿宋" w:eastAsia="仿宋" w:cs="仿宋"/>
          <w:kern w:val="0"/>
          <w:sz w:val="32"/>
          <w:szCs w:val="32"/>
          <w:shd w:val="clear" w:color="auto" w:fill="FFFFFF"/>
        </w:rPr>
      </w:pPr>
    </w:p>
    <w:p>
      <w:pPr>
        <w:rPr>
          <w:rFonts w:ascii="黑体" w:hAnsi="黑体" w:eastAsia="黑体" w:cs="黑体"/>
          <w:b/>
          <w:bCs/>
          <w:sz w:val="30"/>
          <w:szCs w:val="30"/>
        </w:rPr>
      </w:pPr>
      <w:r>
        <w:rPr>
          <w:rFonts w:hint="eastAsia" w:ascii="黑体" w:hAnsi="黑体" w:eastAsia="黑体" w:cs="黑体"/>
          <w:b/>
          <w:bCs/>
          <w:sz w:val="30"/>
          <w:szCs w:val="30"/>
        </w:rPr>
        <w:t>(后附部门整体自评报告)</w:t>
      </w:r>
    </w:p>
    <w:p>
      <w:pPr>
        <w:rPr>
          <w:rFonts w:ascii="黑体" w:hAnsi="黑体" w:eastAsia="黑体" w:cs="黑体"/>
          <w:b/>
          <w:bCs/>
          <w:sz w:val="30"/>
          <w:szCs w:val="30"/>
        </w:rPr>
      </w:pPr>
    </w:p>
    <w:p>
      <w:pPr>
        <w:rPr>
          <w:rFonts w:ascii="黑体" w:hAnsi="黑体" w:eastAsia="黑体" w:cs="黑体"/>
          <w:b/>
          <w:bCs/>
          <w:sz w:val="30"/>
          <w:szCs w:val="30"/>
        </w:rPr>
      </w:pPr>
    </w:p>
    <w:p>
      <w:pPr>
        <w:rPr>
          <w:rFonts w:ascii="黑体" w:hAnsi="黑体" w:eastAsia="黑体" w:cs="黑体"/>
          <w:b/>
          <w:bCs/>
          <w:sz w:val="30"/>
          <w:szCs w:val="30"/>
        </w:rPr>
      </w:pPr>
    </w:p>
    <w:p>
      <w:pPr>
        <w:rPr>
          <w:rFonts w:ascii="黑体" w:hAnsi="黑体" w:eastAsia="黑体" w:cs="黑体"/>
          <w:b/>
          <w:bCs/>
          <w:sz w:val="30"/>
          <w:szCs w:val="30"/>
        </w:rPr>
      </w:pPr>
    </w:p>
    <w:p>
      <w:pPr>
        <w:rPr>
          <w:rFonts w:ascii="黑体" w:hAnsi="黑体" w:eastAsia="黑体" w:cs="黑体"/>
          <w:b/>
          <w:bCs/>
          <w:sz w:val="30"/>
          <w:szCs w:val="30"/>
        </w:rPr>
      </w:pPr>
    </w:p>
    <w:p>
      <w:pPr>
        <w:ind w:firstLine="780"/>
        <w:jc w:val="center"/>
        <w:rPr>
          <w:rFonts w:hint="eastAsia" w:cs="黑体" w:asciiTheme="minorEastAsia" w:hAnsiTheme="minorEastAsia" w:eastAsiaTheme="minorEastAsia"/>
          <w:b/>
          <w:bCs/>
          <w:sz w:val="44"/>
          <w:szCs w:val="44"/>
          <w:lang w:eastAsia="zh-CN"/>
        </w:rPr>
      </w:pPr>
      <w:r>
        <w:rPr>
          <w:rFonts w:hint="eastAsia" w:cs="黑体" w:asciiTheme="minorEastAsia" w:hAnsiTheme="minorEastAsia"/>
          <w:b/>
          <w:bCs/>
          <w:sz w:val="44"/>
          <w:szCs w:val="44"/>
        </w:rPr>
        <w:t>隆尧县</w:t>
      </w:r>
      <w:r>
        <w:rPr>
          <w:rFonts w:hint="eastAsia" w:cs="黑体" w:asciiTheme="minorEastAsia" w:hAnsiTheme="minorEastAsia"/>
          <w:b/>
          <w:bCs/>
          <w:sz w:val="44"/>
          <w:szCs w:val="44"/>
          <w:lang w:eastAsia="zh-CN"/>
        </w:rPr>
        <w:t>网信办</w:t>
      </w:r>
    </w:p>
    <w:p>
      <w:pPr>
        <w:ind w:firstLine="780"/>
        <w:jc w:val="center"/>
        <w:rPr>
          <w:rFonts w:cs="黑体" w:asciiTheme="minorEastAsia" w:hAnsiTheme="minorEastAsia"/>
          <w:b/>
          <w:bCs/>
          <w:sz w:val="44"/>
          <w:szCs w:val="44"/>
        </w:rPr>
      </w:pPr>
      <w:r>
        <w:rPr>
          <w:rFonts w:hint="eastAsia" w:cs="黑体" w:asciiTheme="minorEastAsia" w:hAnsiTheme="minorEastAsia"/>
          <w:b/>
          <w:bCs/>
          <w:sz w:val="44"/>
          <w:szCs w:val="44"/>
        </w:rPr>
        <w:t>2021年部门整体支出绩效评价报告</w:t>
      </w:r>
    </w:p>
    <w:p>
      <w:pPr>
        <w:ind w:firstLine="640" w:firstLineChars="200"/>
        <w:rPr>
          <w:rFonts w:ascii="黑体" w:hAnsi="黑体" w:eastAsia="黑体" w:cs="仿宋"/>
          <w:sz w:val="32"/>
          <w:szCs w:val="32"/>
        </w:rPr>
      </w:pPr>
      <w:r>
        <w:rPr>
          <w:rFonts w:hint="eastAsia" w:ascii="黑体" w:hAnsi="黑体" w:eastAsia="黑体" w:cs="仿宋"/>
          <w:sz w:val="32"/>
          <w:szCs w:val="32"/>
        </w:rPr>
        <w:t>一、基本概况。</w:t>
      </w:r>
    </w:p>
    <w:p>
      <w:p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(一)部门主要职责职能和部门组织架构</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1.</w:t>
      </w:r>
      <w:r>
        <w:rPr>
          <w:rFonts w:hint="eastAsia" w:ascii="仿宋_GB2312" w:hAnsi="仿宋_GB2312" w:eastAsia="仿宋_GB2312" w:cs="仿宋_GB2312"/>
          <w:b/>
          <w:bCs w:val="0"/>
          <w:sz w:val="32"/>
          <w:szCs w:val="32"/>
        </w:rPr>
        <w:t>部门</w:t>
      </w:r>
      <w:r>
        <w:rPr>
          <w:rFonts w:hint="eastAsia" w:ascii="仿宋_GB2312" w:hAnsi="仿宋_GB2312" w:eastAsia="仿宋_GB2312" w:cs="仿宋_GB2312"/>
          <w:b/>
          <w:bCs w:val="0"/>
          <w:sz w:val="32"/>
          <w:szCs w:val="32"/>
          <w:lang w:eastAsia="zh-CN"/>
        </w:rPr>
        <w:t>主要</w:t>
      </w:r>
      <w:r>
        <w:rPr>
          <w:rFonts w:hint="eastAsia" w:ascii="仿宋_GB2312" w:hAnsi="仿宋_GB2312" w:eastAsia="仿宋_GB2312" w:cs="仿宋_GB2312"/>
          <w:b/>
          <w:bCs w:val="0"/>
          <w:sz w:val="32"/>
          <w:szCs w:val="32"/>
        </w:rPr>
        <w:t>职</w:t>
      </w:r>
      <w:r>
        <w:rPr>
          <w:rFonts w:hint="eastAsia" w:ascii="仿宋_GB2312" w:hAnsi="仿宋_GB2312" w:eastAsia="仿宋_GB2312" w:cs="仿宋_GB2312"/>
          <w:b/>
          <w:bCs w:val="0"/>
          <w:sz w:val="32"/>
          <w:szCs w:val="32"/>
          <w:lang w:eastAsia="zh-CN"/>
        </w:rPr>
        <w:t>能</w:t>
      </w:r>
      <w:r>
        <w:rPr>
          <w:rFonts w:ascii="仿宋" w:hAnsi="仿宋" w:eastAsia="仿宋" w:cs="Times New Roman"/>
          <w:b/>
          <w:bCs w:val="0"/>
          <w:sz w:val="32"/>
          <w:szCs w:val="32"/>
        </w:rPr>
        <w:t>：</w:t>
      </w:r>
      <w:r>
        <w:rPr>
          <w:rFonts w:hint="eastAsia" w:ascii="仿宋_GB2312" w:hAnsi="仿宋_GB2312" w:eastAsia="仿宋_GB2312" w:cs="仿宋_GB2312"/>
          <w:sz w:val="32"/>
          <w:szCs w:val="32"/>
          <w:lang w:val="en-US" w:eastAsia="zh-CN"/>
        </w:rPr>
        <w:t>负责处理县委网络安全和信息化委员会日常事务工作。组织研究起草我县网络安全和信息化发展战略、宏观规划和相关政策。统筹协调全县网络安全保障体系和可信体系建设。督促落实我县涉及政治、经济、文化、社会、生态及军事等各个领域的网络安全和信息化重大事项;负责协调处理网络安全和信息化重大突发事件与有关应急工作。负责全县互联网信息内容管理。负责指导协调全县网络舆情工作。推动全县网络阵地建设和重点新闻网站规划建设。推动全县网络社会工作和网络文化、网络文明建设;发展、联系、服务网络社会组织，指导互联网行业自律，推进网站党建工作。落实国家互联网信息服务资本准入和信息网络行业安全审查的有关政策。协调推进全县信息网络行业自主创新和发展。规划指导县内机构开展金融信息服务业务。组织拟订网络安全和信息化干部人才队伍发展规划，组织开展网信系统干部教育培训和人才队伍建设，规划指导全县互联网新闻信息服务从业人员教育培训和考评工作，组织开展网络媒介素养教育。组织开展相关领域的交流与合作。指导、检查、推动各乡镇和有关部门网络安全和信息化工作。完成省、市委网络安全和信息化委员会办公室(省、市互联网信息办公室)和县委、县政府及县委网络安全和信息化委员会、县委宣传部交办的其他任务。</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35" w:firstLineChars="200"/>
        <w:jc w:val="both"/>
        <w:textAlignment w:val="auto"/>
        <w:rPr>
          <w:rFonts w:hint="eastAsia" w:ascii="仿宋" w:hAnsi="仿宋" w:eastAsia="仿宋" w:cs="Times New Roman"/>
          <w:b/>
          <w:spacing w:val="-2"/>
          <w:kern w:val="2"/>
          <w:sz w:val="32"/>
          <w:szCs w:val="32"/>
          <w:lang w:val="en-US" w:eastAsia="zh-CN" w:bidi="ar-SA"/>
        </w:rPr>
      </w:pPr>
      <w:r>
        <w:rPr>
          <w:rFonts w:hint="eastAsia" w:ascii="仿宋" w:hAnsi="仿宋" w:eastAsia="仿宋" w:cs="Times New Roman"/>
          <w:b/>
          <w:spacing w:val="-2"/>
          <w:kern w:val="2"/>
          <w:sz w:val="32"/>
          <w:szCs w:val="32"/>
          <w:lang w:val="en-US" w:eastAsia="zh-CN" w:bidi="ar-SA"/>
        </w:rPr>
        <w:t>2.机构情况</w:t>
      </w:r>
    </w:p>
    <w:p>
      <w:pPr>
        <w:keepNext w:val="0"/>
        <w:keepLines w:val="0"/>
        <w:pageBreakBefore w:val="0"/>
        <w:numPr>
          <w:ilvl w:val="0"/>
          <w:numId w:val="0"/>
        </w:numPr>
        <w:kinsoku/>
        <w:wordWrap/>
        <w:overflowPunct/>
        <w:topLinePunct w:val="0"/>
        <w:bidi w:val="0"/>
        <w:spacing w:line="600" w:lineRule="exact"/>
        <w:ind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中共隆尧县委网络安全和信息化委员会属隆尧县党政机关，行政编制人数7人，内设综合股、业务股。下设舆情服务中心，事业编制人数3人。</w:t>
      </w:r>
    </w:p>
    <w:p>
      <w:pPr>
        <w:keepNext w:val="0"/>
        <w:keepLines w:val="0"/>
        <w:pageBreakBefore w:val="0"/>
        <w:widowControl w:val="0"/>
        <w:numPr>
          <w:ilvl w:val="0"/>
          <w:numId w:val="0"/>
        </w:numPr>
        <w:tabs>
          <w:tab w:val="left" w:pos="1108"/>
        </w:tabs>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lang w:eastAsia="zh-CN"/>
        </w:rPr>
        <w:t>（二）</w:t>
      </w:r>
      <w:r>
        <w:rPr>
          <w:rFonts w:hint="eastAsia" w:ascii="仿宋" w:hAnsi="仿宋" w:eastAsia="仿宋" w:cs="仿宋"/>
          <w:sz w:val="32"/>
          <w:szCs w:val="32"/>
        </w:rPr>
        <w:t>人员及资产情况。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35" w:firstLineChars="200"/>
        <w:jc w:val="both"/>
        <w:textAlignment w:val="auto"/>
        <w:rPr>
          <w:rFonts w:hint="eastAsia" w:ascii="仿宋" w:hAnsi="仿宋" w:eastAsia="仿宋" w:cs="Times New Roman"/>
          <w:b/>
          <w:spacing w:val="-2"/>
          <w:kern w:val="2"/>
          <w:sz w:val="32"/>
          <w:szCs w:val="32"/>
          <w:lang w:val="en-US" w:eastAsia="zh-CN" w:bidi="ar-SA"/>
        </w:rPr>
      </w:pPr>
      <w:r>
        <w:rPr>
          <w:rFonts w:hint="eastAsia" w:ascii="仿宋" w:hAnsi="仿宋" w:eastAsia="仿宋" w:cs="Times New Roman"/>
          <w:b/>
          <w:spacing w:val="-2"/>
          <w:kern w:val="2"/>
          <w:sz w:val="32"/>
          <w:szCs w:val="32"/>
          <w:lang w:val="en-US" w:eastAsia="zh-CN" w:bidi="ar-SA"/>
        </w:rPr>
        <w:t>1.人员情况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核定行政编制7名，实有行政编制5名。主任1名，一般人员4名；核定事业编制3名，实有3名。</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资产情况</w:t>
      </w:r>
    </w:p>
    <w:p>
      <w:pPr>
        <w:numPr>
          <w:ilvl w:val="0"/>
          <w:numId w:val="0"/>
        </w:numPr>
        <w:adjustRightInd w:val="0"/>
        <w:rPr>
          <w:rFonts w:hint="eastAsia" w:ascii="仿宋" w:hAnsi="仿宋" w:eastAsia="仿宋" w:cs="仿宋"/>
          <w:sz w:val="32"/>
          <w:szCs w:val="32"/>
        </w:rPr>
      </w:pPr>
      <w:r>
        <w:rPr>
          <w:rFonts w:hint="eastAsia" w:ascii="仿宋" w:hAnsi="仿宋" w:eastAsia="仿宋" w:cs="仿宋"/>
          <w:sz w:val="32"/>
          <w:szCs w:val="32"/>
        </w:rPr>
        <w:t>通用设备</w:t>
      </w:r>
      <w:r>
        <w:rPr>
          <w:rFonts w:hint="eastAsia" w:ascii="仿宋" w:hAnsi="仿宋" w:eastAsia="仿宋" w:cs="仿宋"/>
          <w:sz w:val="32"/>
          <w:szCs w:val="32"/>
          <w:lang w:val="en-US" w:eastAsia="zh-CN"/>
        </w:rPr>
        <w:t>4.25</w:t>
      </w:r>
      <w:r>
        <w:rPr>
          <w:rFonts w:hint="eastAsia" w:ascii="仿宋" w:hAnsi="仿宋" w:eastAsia="仿宋" w:cs="仿宋"/>
          <w:sz w:val="32"/>
          <w:szCs w:val="32"/>
        </w:rPr>
        <w:t>万元；家具、用具、装具及动植物</w:t>
      </w:r>
      <w:r>
        <w:rPr>
          <w:rFonts w:hint="eastAsia" w:ascii="仿宋" w:hAnsi="仿宋" w:eastAsia="仿宋" w:cs="仿宋"/>
          <w:sz w:val="32"/>
          <w:szCs w:val="32"/>
          <w:lang w:val="en-US" w:eastAsia="zh-CN"/>
        </w:rPr>
        <w:t>1.01</w:t>
      </w:r>
      <w:r>
        <w:rPr>
          <w:rFonts w:hint="eastAsia" w:ascii="仿宋" w:hAnsi="仿宋" w:eastAsia="仿宋" w:cs="仿宋"/>
          <w:sz w:val="32"/>
          <w:szCs w:val="32"/>
        </w:rPr>
        <w:t>万元，</w:t>
      </w:r>
    </w:p>
    <w:p>
      <w:pPr>
        <w:numPr>
          <w:ilvl w:val="0"/>
          <w:numId w:val="0"/>
        </w:num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（三）</w:t>
      </w:r>
      <w:r>
        <w:rPr>
          <w:rFonts w:hint="eastAsia" w:ascii="仿宋" w:hAnsi="仿宋" w:eastAsia="仿宋" w:cs="仿宋"/>
          <w:sz w:val="32"/>
          <w:szCs w:val="32"/>
        </w:rPr>
        <w:t>部门履职总体目标。</w:t>
      </w:r>
    </w:p>
    <w:p>
      <w:pPr>
        <w:numPr>
          <w:ilvl w:val="0"/>
          <w:numId w:val="0"/>
        </w:numPr>
        <w:ind w:firstLine="640" w:firstLineChars="200"/>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2021</w:t>
      </w:r>
      <w:r>
        <w:rPr>
          <w:rFonts w:hint="eastAsia" w:ascii="仿宋_GB2312" w:hAnsi="仿宋_GB2312" w:eastAsia="仿宋_GB2312" w:cs="仿宋_GB2312"/>
          <w:b w:val="0"/>
          <w:sz w:val="32"/>
          <w:szCs w:val="32"/>
        </w:rPr>
        <w:t>年县委网信办将始终坚持以习近平新时代中国特色社会主义思想为指导，深入学习贯彻十九届四中全会和省、市、县委全会精神，自觉践行“四个意识”，始终坚定“四个自信”，坚决做到“两个维护”，全面落实“树正气、有激情、敢担当、干成事”四句话要求，强化“保五争三抢第一”的争先意识，以更加奋发有为的精神状态、更加扎实有效的措施做好工作，在建设经济强县、美丽隆尧中展现新形象、实现新作为。</w:t>
      </w:r>
    </w:p>
    <w:p>
      <w:pPr>
        <w:numPr>
          <w:ilvl w:val="0"/>
          <w:numId w:val="0"/>
        </w:numPr>
        <w:ind w:firstLine="640" w:firstLineChars="200"/>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1.</w:t>
      </w:r>
      <w:r>
        <w:rPr>
          <w:rFonts w:hint="eastAsia" w:ascii="仿宋_GB2312" w:hAnsi="仿宋_GB2312" w:eastAsia="仿宋_GB2312" w:cs="仿宋_GB2312"/>
          <w:b w:val="0"/>
          <w:sz w:val="32"/>
          <w:szCs w:val="32"/>
        </w:rPr>
        <w:t>突出政治，提升网信工作站位。以习近平新时代中国特色社会主义思想和网络强国思想为统领，坚决做到党管网络行动不动摇、方向不跑偏。突出思想引领，充分发挥网络和新媒体优势，阐释好、宣传好党的最新理论成果，弘扬正能量，培育精气神，始终牢牢把握网络意识形态工作主动权。</w:t>
      </w:r>
    </w:p>
    <w:p>
      <w:pPr>
        <w:keepNext w:val="0"/>
        <w:keepLines w:val="0"/>
        <w:pageBreakBefore w:val="0"/>
        <w:numPr>
          <w:ilvl w:val="0"/>
          <w:numId w:val="0"/>
        </w:numPr>
        <w:kinsoku/>
        <w:wordWrap/>
        <w:overflowPunct/>
        <w:topLinePunct w:val="0"/>
        <w:autoSpaceDE/>
        <w:autoSpaceDN/>
        <w:bidi w:val="0"/>
        <w:adjustRightInd/>
        <w:snapToGrid/>
        <w:spacing w:beforeAutospacing="0" w:afterAutospacing="0"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val="0"/>
          <w:sz w:val="32"/>
          <w:szCs w:val="32"/>
          <w:lang w:val="en-US" w:eastAsia="zh-CN"/>
        </w:rPr>
        <w:t>2.</w:t>
      </w:r>
      <w:r>
        <w:rPr>
          <w:rFonts w:hint="eastAsia" w:ascii="仿宋_GB2312" w:hAnsi="仿宋_GB2312" w:eastAsia="仿宋_GB2312" w:cs="仿宋_GB2312"/>
          <w:b w:val="0"/>
          <w:sz w:val="32"/>
          <w:szCs w:val="32"/>
        </w:rPr>
        <w:t>聚焦主业，助推经济社会发展。紧紧围绕网络意识形态安全，统筹推进信息化发展，抓好四件事。一是正向网络宣传。在国庆、国家网络安全宣传周等重要宣活动中落实上级要求，立足隆尧实际和网信工作特质，积极拓展宣传渠道和方式，搞出隆尧特色，把隆尧工作宣传出去，把隆尧形象培树起来。二是守牢两条底线。把网络安全</w:t>
      </w:r>
      <w:r>
        <w:rPr>
          <w:rFonts w:hint="eastAsia" w:ascii="仿宋_GB2312" w:hAnsi="仿宋_GB2312" w:eastAsia="仿宋_GB2312" w:cs="仿宋_GB2312"/>
          <w:b w:val="0"/>
          <w:sz w:val="32"/>
          <w:szCs w:val="32"/>
          <w:lang w:eastAsia="zh-CN"/>
        </w:rPr>
        <w:t>作</w:t>
      </w:r>
      <w:r>
        <w:rPr>
          <w:rFonts w:hint="eastAsia" w:ascii="仿宋_GB2312" w:hAnsi="仿宋_GB2312" w:eastAsia="仿宋_GB2312" w:cs="仿宋_GB2312"/>
          <w:b w:val="0"/>
          <w:sz w:val="32"/>
          <w:szCs w:val="32"/>
        </w:rPr>
        <w:t>为重中之重来抓，确保全县关键信息系统安全为全县经济社会发展营造良好网络环境。三是推进网络执法。进一步加大网络执法力度，形成对违法和不良信息以及打擦边球的标题党打击的高压态势，切实维护网络空间清朗。四是抓好信息化建设。积极对接上级部门，在智慧城市建设、电子政务等方面做好前瞻性研究，确保省市要求能够有效落地，为经济发展作出贡献。</w:t>
      </w:r>
    </w:p>
    <w:p>
      <w:pPr>
        <w:adjustRightInd w:val="0"/>
        <w:rPr>
          <w:rFonts w:hint="eastAsia" w:ascii="仿宋" w:hAnsi="仿宋" w:eastAsia="仿宋" w:cs="仿宋"/>
          <w:sz w:val="32"/>
          <w:szCs w:val="32"/>
        </w:rPr>
      </w:pPr>
      <w:r>
        <w:rPr>
          <w:rFonts w:hint="eastAsia" w:ascii="仿宋" w:hAnsi="仿宋" w:eastAsia="仿宋" w:cs="仿宋"/>
          <w:sz w:val="32"/>
          <w:szCs w:val="32"/>
        </w:rPr>
        <w:t xml:space="preserve">   （四）年度整体绩效目标和工作任务。</w:t>
      </w:r>
    </w:p>
    <w:p>
      <w:pPr>
        <w:adjustRightInd w:val="0"/>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w:t>
      </w:r>
      <w:r>
        <w:rPr>
          <w:rFonts w:hint="eastAsia" w:ascii="仿宋" w:hAnsi="仿宋" w:eastAsia="仿宋" w:cs="仿宋"/>
          <w:sz w:val="32"/>
          <w:szCs w:val="32"/>
        </w:rPr>
        <w:t>、总体绩效目标</w:t>
      </w:r>
      <w:r>
        <w:rPr>
          <w:rFonts w:hint="eastAsia" w:ascii="仿宋" w:hAnsi="仿宋" w:eastAsia="仿宋" w:cs="仿宋"/>
          <w:sz w:val="32"/>
          <w:szCs w:val="32"/>
          <w:lang w:val="en-US" w:eastAsia="zh-CN"/>
        </w:rPr>
        <w:t xml:space="preserve">  </w:t>
      </w:r>
    </w:p>
    <w:p>
      <w:p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2021年县委网信办将始终坚持以习近平新时代中国特色社会主义思想为指导，深入学习贯彻十九届四中全会和省、市、县委</w:t>
      </w:r>
    </w:p>
    <w:p>
      <w:pPr>
        <w:adjustRightInd w:val="0"/>
        <w:rPr>
          <w:rFonts w:hint="eastAsia" w:ascii="仿宋" w:hAnsi="仿宋" w:eastAsia="仿宋" w:cs="仿宋"/>
          <w:sz w:val="32"/>
          <w:szCs w:val="32"/>
        </w:rPr>
      </w:pPr>
      <w:r>
        <w:rPr>
          <w:rFonts w:hint="eastAsia" w:ascii="仿宋" w:hAnsi="仿宋" w:eastAsia="仿宋" w:cs="仿宋"/>
          <w:sz w:val="32"/>
          <w:szCs w:val="32"/>
        </w:rPr>
        <w:t>全会精神，自觉践行“四个意识”，始终坚定“四个自信”，坚决做到“两个维护”，全面落实“树正气、有激情、敢担当、干成事”四句话要求，强化“保五争三抢第一"的争先意识，以更加奋发有为的精神状态、更加扎实有效的措施做好工作，在建设经济强县、美丽隆尧中展现新形象、实现新作为。</w:t>
      </w:r>
    </w:p>
    <w:p>
      <w:pPr>
        <w:adjustRightInd w:val="0"/>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2工作任务</w:t>
      </w:r>
    </w:p>
    <w:p>
      <w:pPr>
        <w:adjustRightInd w:val="0"/>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通过网络宣传，广大干部群众运用科学理论解决实际问题;的能力进一步提高，社会主义核心价值观得到进一步弘扬，隆尧良好形象、知名度、美誉度得到大大改善。线上线下网络文化活动更加丰富，全县网络环境更加健康繁荣。在我县各新闻网站、政务新媒体平台和客户端刊载理论文章的篇数达到50篇，进行宣传活动不少于20次。</w:t>
      </w:r>
    </w:p>
    <w:p>
      <w:pPr>
        <w:adjustRightInd w:val="0"/>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网络舆情应对处置水平明显改善，牢牢把握舆论正确导向，为全县经济社会等发展提供强有力的舆论支持，舆情信息的收集、分析、研判能力得到大幅提升，及时化解、妥善处理社会敏感问题和突发事件等有关负面舆情的处置率显著增强，网络舆论引导工作队伍的规模进一步扩大，全县网络舆情应对处置水平整体得到明显改善。通过舆情信息系统和人工巡查监测，舆情处置率实现90%以上。</w:t>
      </w:r>
    </w:p>
    <w:p>
      <w:pPr>
        <w:adjustRightInd w:val="0"/>
        <w:rPr>
          <w:rFonts w:hint="eastAsia" w:ascii="楷体" w:hAnsi="楷体" w:eastAsia="楷体" w:cs="仿宋"/>
          <w:sz w:val="32"/>
          <w:szCs w:val="32"/>
        </w:rPr>
      </w:pPr>
      <w:r>
        <w:rPr>
          <w:rFonts w:hint="eastAsia" w:ascii="仿宋" w:hAnsi="仿宋" w:eastAsia="仿宋" w:cs="仿宋"/>
          <w:sz w:val="32"/>
          <w:szCs w:val="32"/>
        </w:rPr>
        <w:t xml:space="preserve">   （五）预算资金安排及资金支出</w:t>
      </w:r>
      <w:r>
        <w:rPr>
          <w:rFonts w:hint="eastAsia" w:ascii="楷体" w:hAnsi="楷体" w:eastAsia="楷体" w:cs="仿宋"/>
          <w:sz w:val="32"/>
          <w:szCs w:val="32"/>
        </w:rPr>
        <w:t>情况。</w:t>
      </w:r>
    </w:p>
    <w:p>
      <w:pPr>
        <w:adjustRightInd w:val="0"/>
        <w:ind w:firstLine="640" w:firstLineChars="200"/>
        <w:rPr>
          <w:rFonts w:hint="default" w:ascii="仿宋" w:hAnsi="仿宋" w:eastAsia="仿宋" w:cs="仿宋"/>
          <w:sz w:val="32"/>
          <w:szCs w:val="32"/>
          <w:lang w:val="en-US" w:eastAsia="zh-CN"/>
        </w:rPr>
      </w:pPr>
      <w:r>
        <w:rPr>
          <w:rFonts w:hint="eastAsia"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年部门</w:t>
      </w:r>
      <w:r>
        <w:rPr>
          <w:rFonts w:hint="eastAsia" w:ascii="Times New Roman" w:hAnsi="Times New Roman" w:eastAsia="仿宋" w:cs="Times New Roman"/>
          <w:sz w:val="32"/>
          <w:szCs w:val="32"/>
          <w:lang w:eastAsia="zh-CN"/>
        </w:rPr>
        <w:t>预算资金</w:t>
      </w:r>
      <w:r>
        <w:rPr>
          <w:rFonts w:hint="eastAsia" w:ascii="Times New Roman" w:hAnsi="Times New Roman" w:eastAsia="仿宋" w:cs="Times New Roman"/>
          <w:sz w:val="32"/>
          <w:szCs w:val="32"/>
        </w:rPr>
        <w:t>支出为</w:t>
      </w:r>
      <w:r>
        <w:rPr>
          <w:rFonts w:hint="eastAsia" w:ascii="Times New Roman" w:hAnsi="Times New Roman" w:eastAsia="仿宋" w:cs="Times New Roman"/>
          <w:sz w:val="32"/>
          <w:szCs w:val="32"/>
          <w:lang w:val="en-US" w:eastAsia="zh-CN"/>
        </w:rPr>
        <w:t>71.8万</w:t>
      </w:r>
      <w:r>
        <w:rPr>
          <w:rFonts w:hint="eastAsia" w:ascii="Times New Roman" w:hAnsi="Times New Roman" w:eastAsia="仿宋" w:cs="Times New Roman"/>
          <w:sz w:val="32"/>
          <w:szCs w:val="32"/>
        </w:rPr>
        <w:t>元</w:t>
      </w:r>
      <w:r>
        <w:rPr>
          <w:rFonts w:hint="eastAsia" w:ascii="Times New Roman" w:hAnsi="Times New Roman" w:eastAsia="仿宋" w:cs="Times New Roman"/>
          <w:sz w:val="32"/>
          <w:szCs w:val="32"/>
          <w:lang w:eastAsia="zh-CN"/>
        </w:rPr>
        <w:t>。</w:t>
      </w:r>
      <w:r>
        <w:rPr>
          <w:rFonts w:hint="eastAsia" w:ascii="仿宋" w:hAnsi="仿宋" w:eastAsia="仿宋" w:cs="仿宋"/>
          <w:sz w:val="32"/>
          <w:szCs w:val="32"/>
        </w:rPr>
        <w:t>其中</w:t>
      </w:r>
      <w:r>
        <w:rPr>
          <w:rFonts w:hint="eastAsia" w:ascii="仿宋" w:hAnsi="仿宋" w:eastAsia="仿宋" w:cs="仿宋"/>
          <w:sz w:val="32"/>
          <w:szCs w:val="32"/>
          <w:lang w:val="en-US" w:eastAsia="zh-CN"/>
        </w:rPr>
        <w:t>工资福利</w:t>
      </w:r>
      <w:r>
        <w:rPr>
          <w:rFonts w:hint="eastAsia" w:ascii="仿宋" w:hAnsi="仿宋" w:eastAsia="仿宋" w:cs="仿宋"/>
          <w:sz w:val="32"/>
          <w:szCs w:val="32"/>
        </w:rPr>
        <w:t>支出为</w:t>
      </w:r>
      <w:r>
        <w:rPr>
          <w:rFonts w:hint="eastAsia" w:ascii="仿宋" w:hAnsi="仿宋" w:eastAsia="仿宋" w:cs="仿宋"/>
          <w:sz w:val="32"/>
          <w:szCs w:val="32"/>
          <w:lang w:val="en-US" w:eastAsia="zh-CN"/>
        </w:rPr>
        <w:t>37.58</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商品和服务支出为32.22万元；办公设备购置支出为2万元。</w:t>
      </w:r>
    </w:p>
    <w:p>
      <w:pPr>
        <w:pStyle w:val="18"/>
        <w:numPr>
          <w:ilvl w:val="0"/>
          <w:numId w:val="0"/>
        </w:numPr>
        <w:ind w:left="840" w:leftChars="0"/>
        <w:rPr>
          <w:rFonts w:ascii="黑体" w:hAnsi="黑体" w:eastAsia="黑体" w:cs="仿宋"/>
          <w:sz w:val="32"/>
          <w:szCs w:val="32"/>
        </w:rPr>
      </w:pPr>
      <w:r>
        <w:rPr>
          <w:rFonts w:hint="eastAsia" w:ascii="黑体" w:hAnsi="黑体" w:eastAsia="黑体" w:cs="仿宋"/>
          <w:sz w:val="32"/>
          <w:szCs w:val="32"/>
          <w:lang w:eastAsia="zh-CN"/>
        </w:rPr>
        <w:t>二、</w:t>
      </w:r>
      <w:r>
        <w:rPr>
          <w:rFonts w:hint="eastAsia" w:ascii="黑体" w:hAnsi="黑体" w:eastAsia="黑体" w:cs="仿宋"/>
          <w:sz w:val="32"/>
          <w:szCs w:val="32"/>
        </w:rPr>
        <w:t>预算绩效管理开展及整体绩效实现情况。</w:t>
      </w:r>
    </w:p>
    <w:p>
      <w:pPr>
        <w:adjustRightInd w:val="0"/>
        <w:rPr>
          <w:rFonts w:hint="eastAsia" w:ascii="仿宋" w:hAnsi="仿宋" w:eastAsia="仿宋" w:cs="仿宋"/>
          <w:sz w:val="32"/>
          <w:szCs w:val="32"/>
        </w:rPr>
      </w:pPr>
      <w:r>
        <w:rPr>
          <w:rFonts w:hint="eastAsia" w:ascii="仿宋" w:hAnsi="仿宋" w:eastAsia="仿宋" w:cs="仿宋"/>
          <w:sz w:val="32"/>
          <w:szCs w:val="32"/>
        </w:rPr>
        <w:t>（一）完善制度建设。将事前评估、目标管理、运行监控、绩效评价及结果应用等各项改革措施，有效融入预算编制、执行、监督的全过程，建立健全网络安全和信息化领域预算绩效管理的路径和制度体系，建立统筹协调、分工协作、密切配合、合力推进的工作机制。围绕网信部门职责和事业发展规划，细化工作方案，明确责任主体、实施进度要求，以预算资金为主线，从产出数量、运行成本、管理效率、履职效能、社会效应、可持续发展能力和服务对象满意度等方面，衡量部门整体及核心业务实施效果，推动提高部门整体绩效水平。</w:t>
      </w:r>
    </w:p>
    <w:p>
      <w:pPr>
        <w:adjustRightInd w:val="0"/>
        <w:rPr>
          <w:rFonts w:hint="eastAsia" w:ascii="仿宋" w:hAnsi="仿宋" w:eastAsia="仿宋" w:cs="仿宋"/>
          <w:sz w:val="32"/>
          <w:szCs w:val="32"/>
        </w:rPr>
      </w:pPr>
      <w:r>
        <w:rPr>
          <w:rFonts w:hint="eastAsia" w:ascii="仿宋" w:hAnsi="仿宋" w:eastAsia="仿宋" w:cs="仿宋"/>
          <w:sz w:val="32"/>
          <w:szCs w:val="32"/>
        </w:rPr>
        <w:t>（二）加强支出管理和绩效监控。按照“谁花钱、谁负责，谁牵总、谁主责”的原则，调整优化支出结构，编细编实预算，严格履行政府采购手续，创新财政资金支出思路，合理改进支出方式，按进度和规定及时完成相关项目工作并下达资金，确保按照时间节点完成支出任务。</w:t>
      </w:r>
    </w:p>
    <w:p>
      <w:pPr>
        <w:adjustRightInd w:val="0"/>
        <w:rPr>
          <w:rFonts w:hint="eastAsia" w:ascii="仿宋" w:hAnsi="仿宋" w:eastAsia="仿宋" w:cs="仿宋"/>
          <w:sz w:val="32"/>
          <w:szCs w:val="32"/>
        </w:rPr>
      </w:pPr>
      <w:r>
        <w:rPr>
          <w:rFonts w:hint="eastAsia" w:ascii="仿宋" w:hAnsi="仿宋" w:eastAsia="仿宋" w:cs="仿宋"/>
          <w:sz w:val="32"/>
          <w:szCs w:val="32"/>
        </w:rPr>
        <w:t>（三）做好绩效自评。由相关科室负责科学制定分管项目和内容的中期、终期绩效目标和评价指标，动态收集评估数据信息，开展预算绩效中期评估、终期评价。评价过程要最大程度信息公开，运用法律、经济和行政手段规范、管理和保障预算绩效工作的有效推进，做到程序规范、方法合理、结果可信。对评价中发现的问题及时整改，调整优化支出结构，提高财政资金使用效益。</w:t>
      </w:r>
    </w:p>
    <w:p>
      <w:pPr>
        <w:adjustRightInd w:val="0"/>
        <w:rPr>
          <w:rFonts w:hint="eastAsia" w:ascii="仿宋" w:hAnsi="仿宋" w:eastAsia="仿宋" w:cs="仿宋"/>
          <w:sz w:val="32"/>
          <w:szCs w:val="32"/>
        </w:rPr>
      </w:pPr>
      <w:r>
        <w:rPr>
          <w:rFonts w:hint="eastAsia" w:ascii="仿宋" w:hAnsi="仿宋" w:eastAsia="仿宋" w:cs="仿宋"/>
          <w:sz w:val="32"/>
          <w:szCs w:val="32"/>
        </w:rPr>
        <w:t>（四）规范财务资产管理，加强内部监督。规范财政资金使用和管理，强化内部控制制度建设，严格做好固定资产的登记、使用和报废处置管理工作，做到支出合理，物尽其用，最大限度地发挥财政资金的使用效益。加强内部监督制度建设，对绩效运行情况、重大支出决策、资产处置及其他重要经济业务事项的决策和执行进行督导，对会计资料进行内部审计，并配合做好审计、财政监督等外部监督工作，确保财政资金安全有效。</w:t>
      </w:r>
    </w:p>
    <w:p>
      <w:pPr>
        <w:adjustRightInd w:val="0"/>
        <w:rPr>
          <w:rFonts w:hint="eastAsia" w:ascii="仿宋" w:hAnsi="仿宋" w:eastAsia="仿宋" w:cs="仿宋"/>
          <w:sz w:val="32"/>
          <w:szCs w:val="32"/>
        </w:rPr>
      </w:pPr>
      <w:r>
        <w:rPr>
          <w:rFonts w:hint="eastAsia" w:ascii="仿宋" w:hAnsi="仿宋" w:eastAsia="仿宋" w:cs="仿宋"/>
          <w:sz w:val="32"/>
          <w:szCs w:val="32"/>
        </w:rPr>
        <w:t>（五）加强宣传培训调研。通过对网信系统内部工作人员开展业务技能专项培训，不断提高部门整体队伍能力素质，在全体干部职工中牢固树立绩效理念，熟悉管理流程，掌握工作方法，提升管理能力，更好地适应做好新时代网络工作新要求。各科室还要积极探索工作经验，及时总结预算绩效管理成效，营造良好的舆论氛围；要加强调研，尽力提出优化财政资金配置、提高资金使用效益的意见；要加大宣传力度，通过“互联网+”等数据共享服务一体化信息管理平台，借助新媒体宣传及公众号发布等现代化信息手段，促进预算绩效管理水平进一步提升。</w:t>
      </w:r>
    </w:p>
    <w:p>
      <w:pPr>
        <w:pStyle w:val="18"/>
        <w:numPr>
          <w:ilvl w:val="0"/>
          <w:numId w:val="0"/>
        </w:numPr>
        <w:ind w:left="709" w:leftChars="0"/>
        <w:rPr>
          <w:rFonts w:ascii="黑体" w:hAnsi="黑体" w:eastAsia="黑体" w:cs="仿宋"/>
          <w:sz w:val="32"/>
          <w:szCs w:val="32"/>
        </w:rPr>
      </w:pPr>
      <w:r>
        <w:rPr>
          <w:rFonts w:hint="eastAsia" w:ascii="黑体" w:hAnsi="黑体" w:eastAsia="黑体" w:cs="仿宋"/>
          <w:sz w:val="32"/>
          <w:szCs w:val="32"/>
          <w:lang w:val="en-US" w:eastAsia="zh-CN"/>
        </w:rPr>
        <w:t>三、</w:t>
      </w:r>
      <w:r>
        <w:rPr>
          <w:rFonts w:hint="eastAsia" w:ascii="黑体" w:hAnsi="黑体" w:eastAsia="黑体" w:cs="仿宋"/>
          <w:sz w:val="32"/>
          <w:szCs w:val="32"/>
        </w:rPr>
        <w:t>绩效评价的组织实施情况</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我单位成立了部门整体支出绩效自评小组，遵循客观公正，操作简便高效，尊重客观实际，实事求是的原则，负责本单位整体绩效自评工作。</w:t>
      </w:r>
    </w:p>
    <w:p>
      <w:pPr>
        <w:pStyle w:val="18"/>
        <w:numPr>
          <w:ilvl w:val="0"/>
          <w:numId w:val="0"/>
        </w:numPr>
        <w:ind w:left="709" w:leftChars="0"/>
        <w:rPr>
          <w:rFonts w:hint="eastAsia" w:ascii="黑体" w:hAnsi="黑体" w:eastAsia="黑体" w:cs="仿宋"/>
          <w:sz w:val="32"/>
          <w:szCs w:val="32"/>
        </w:rPr>
      </w:pPr>
      <w:r>
        <w:rPr>
          <w:rFonts w:hint="eastAsia" w:ascii="黑体" w:hAnsi="黑体" w:eastAsia="黑体" w:cs="仿宋"/>
          <w:sz w:val="32"/>
          <w:szCs w:val="32"/>
          <w:lang w:val="en-US" w:eastAsia="zh-CN"/>
        </w:rPr>
        <w:t>四、</w:t>
      </w:r>
      <w:r>
        <w:rPr>
          <w:rFonts w:hint="eastAsia" w:ascii="黑体" w:hAnsi="黑体" w:eastAsia="黑体" w:cs="仿宋"/>
          <w:sz w:val="32"/>
          <w:szCs w:val="32"/>
        </w:rPr>
        <w:t>各项绩效目标的实现程度及差异性原因分析。</w:t>
      </w:r>
    </w:p>
    <w:p>
      <w:pPr>
        <w:pStyle w:val="18"/>
        <w:numPr>
          <w:ilvl w:val="0"/>
          <w:numId w:val="0"/>
        </w:numPr>
        <w:ind w:left="709" w:leftChars="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通过自评，我单位各项绩效目标基本实现。</w:t>
      </w:r>
    </w:p>
    <w:p>
      <w:pPr>
        <w:pStyle w:val="18"/>
        <w:numPr>
          <w:ilvl w:val="0"/>
          <w:numId w:val="0"/>
        </w:numPr>
        <w:ind w:left="709" w:leftChars="0"/>
        <w:rPr>
          <w:rFonts w:hint="eastAsia" w:ascii="黑体" w:hAnsi="黑体" w:eastAsia="黑体" w:cs="仿宋"/>
          <w:sz w:val="32"/>
          <w:szCs w:val="32"/>
          <w:lang w:eastAsia="zh-CN"/>
        </w:rPr>
      </w:pPr>
      <w:r>
        <w:rPr>
          <w:rFonts w:hint="eastAsia" w:ascii="黑体" w:hAnsi="黑体" w:eastAsia="黑体" w:cs="仿宋"/>
          <w:sz w:val="32"/>
          <w:szCs w:val="32"/>
          <w:lang w:val="en-US" w:eastAsia="zh-CN"/>
        </w:rPr>
        <w:t>五、</w:t>
      </w:r>
      <w:r>
        <w:rPr>
          <w:rFonts w:hint="eastAsia" w:ascii="黑体" w:hAnsi="黑体" w:eastAsia="黑体" w:cs="仿宋"/>
          <w:sz w:val="32"/>
          <w:szCs w:val="32"/>
        </w:rPr>
        <w:t>存在问题</w:t>
      </w:r>
      <w:r>
        <w:rPr>
          <w:rFonts w:hint="eastAsia" w:ascii="黑体" w:hAnsi="黑体" w:eastAsia="黑体" w:cs="仿宋"/>
          <w:sz w:val="32"/>
          <w:szCs w:val="32"/>
          <w:lang w:eastAsia="zh-CN"/>
        </w:rPr>
        <w:t>。</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 w:hAnsi="仿宋" w:eastAsia="仿宋" w:cs="Times New Roman"/>
          <w:color w:val="000000"/>
          <w:sz w:val="30"/>
          <w:szCs w:val="24"/>
        </w:rPr>
      </w:pPr>
      <w:r>
        <w:rPr>
          <w:rFonts w:hint="eastAsia" w:ascii="仿宋" w:hAnsi="仿宋" w:eastAsia="仿宋" w:cs="Times New Roman"/>
          <w:color w:val="000000"/>
          <w:sz w:val="30"/>
          <w:szCs w:val="24"/>
        </w:rPr>
        <w:t>忽视评估效果。对于各项工作任务，注重按时完成，提前谋划，但对完成的效果以及影响力的评估，我们少有探究，联系实际、服务群众做的不够。</w:t>
      </w:r>
    </w:p>
    <w:p>
      <w:pPr>
        <w:pStyle w:val="18"/>
        <w:numPr>
          <w:ilvl w:val="0"/>
          <w:numId w:val="0"/>
        </w:numPr>
        <w:ind w:left="709" w:leftChars="0"/>
        <w:rPr>
          <w:rFonts w:hint="eastAsia" w:ascii="黑体" w:hAnsi="黑体" w:eastAsia="黑体" w:cs="仿宋"/>
          <w:sz w:val="32"/>
          <w:szCs w:val="32"/>
        </w:rPr>
      </w:pPr>
      <w:r>
        <w:rPr>
          <w:rFonts w:hint="eastAsia" w:ascii="黑体" w:hAnsi="黑体" w:eastAsia="黑体" w:cs="仿宋"/>
          <w:sz w:val="32"/>
          <w:szCs w:val="32"/>
          <w:lang w:val="en-US" w:eastAsia="zh-CN"/>
        </w:rPr>
        <w:t>六、</w:t>
      </w:r>
      <w:r>
        <w:rPr>
          <w:rFonts w:hint="eastAsia" w:ascii="黑体" w:hAnsi="黑体" w:eastAsia="黑体" w:cs="仿宋"/>
          <w:sz w:val="32"/>
          <w:szCs w:val="32"/>
        </w:rPr>
        <w:t>采取的纠偏措施及改进绩效管理建议。</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 w:hAnsi="仿宋" w:eastAsia="仿宋" w:cs="仿宋"/>
          <w:sz w:val="32"/>
          <w:szCs w:val="32"/>
        </w:rPr>
      </w:pPr>
      <w:r>
        <w:rPr>
          <w:rFonts w:hint="eastAsia" w:ascii="仿宋" w:hAnsi="仿宋" w:eastAsia="仿宋" w:cs="Times New Roman"/>
          <w:color w:val="000000"/>
          <w:sz w:val="30"/>
          <w:szCs w:val="24"/>
        </w:rPr>
        <w:t>进一步规范财务绩效管理，对本单位当年度的各项工作开展做到心中有数，统筹安排，合理配置。在以后工作中，坚持做到合理安排预算资金，不断完善支出结构，优化资金使用率，进一步完善绩效预算管理体制。</w:t>
      </w:r>
    </w:p>
    <w:p>
      <w:pPr>
        <w:pStyle w:val="18"/>
        <w:spacing w:line="600" w:lineRule="exact"/>
        <w:ind w:firstLine="640"/>
        <w:rPr>
          <w:rFonts w:hint="eastAsia" w:ascii="仿宋" w:hAnsi="仿宋" w:eastAsia="仿宋" w:cs="仿宋_GB2312"/>
          <w:sz w:val="32"/>
          <w:szCs w:val="32"/>
          <w:lang w:val="en-US" w:eastAsia="zh-CN"/>
        </w:rPr>
      </w:pPr>
      <w:bookmarkStart w:id="0" w:name="_GoBack"/>
      <w:bookmarkEnd w:id="0"/>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003" w:usb1="288F0000" w:usb2="00000006" w:usb3="00000000" w:csb0="00040001"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framePr w:wrap="around" w:vAnchor="text" w:hAnchor="margin" w:xAlign="outside" w:y="1"/>
      <w:rPr>
        <w:rStyle w:val="12"/>
        <w:rFonts w:ascii="宋体" w:hAnsi="宋体" w:eastAsia="宋体"/>
        <w:sz w:val="28"/>
        <w:szCs w:val="28"/>
      </w:rPr>
    </w:pPr>
    <w:r>
      <w:rPr>
        <w:rStyle w:val="12"/>
        <w:rFonts w:hint="eastAsia" w:ascii="宋体" w:hAnsi="宋体" w:eastAsia="宋体"/>
        <w:sz w:val="28"/>
        <w:szCs w:val="28"/>
      </w:rPr>
      <w:t>-</w:t>
    </w:r>
    <w:r>
      <w:rPr>
        <w:rStyle w:val="12"/>
        <w:rFonts w:ascii="宋体" w:hAnsi="宋体" w:eastAsia="宋体"/>
        <w:sz w:val="28"/>
        <w:szCs w:val="28"/>
      </w:rPr>
      <w:fldChar w:fldCharType="begin"/>
    </w:r>
    <w:r>
      <w:rPr>
        <w:rStyle w:val="12"/>
        <w:rFonts w:ascii="宋体" w:hAnsi="宋体" w:eastAsia="宋体"/>
        <w:sz w:val="28"/>
        <w:szCs w:val="28"/>
      </w:rPr>
      <w:instrText xml:space="preserve">PAGE  </w:instrText>
    </w:r>
    <w:r>
      <w:rPr>
        <w:rStyle w:val="12"/>
        <w:rFonts w:ascii="宋体" w:hAnsi="宋体" w:eastAsia="宋体"/>
        <w:sz w:val="28"/>
        <w:szCs w:val="28"/>
      </w:rPr>
      <w:fldChar w:fldCharType="separate"/>
    </w:r>
    <w:r>
      <w:rPr>
        <w:rStyle w:val="12"/>
        <w:rFonts w:ascii="宋体" w:hAnsi="宋体" w:eastAsia="宋体"/>
        <w:sz w:val="28"/>
        <w:szCs w:val="28"/>
      </w:rPr>
      <w:t>7</w:t>
    </w:r>
    <w:r>
      <w:rPr>
        <w:rStyle w:val="12"/>
        <w:rFonts w:ascii="宋体" w:hAnsi="宋体" w:eastAsia="宋体"/>
        <w:sz w:val="28"/>
        <w:szCs w:val="28"/>
      </w:rPr>
      <w:fldChar w:fldCharType="end"/>
    </w:r>
    <w:r>
      <w:rPr>
        <w:rStyle w:val="12"/>
        <w:rFonts w:hint="eastAsia" w:ascii="宋体" w:hAnsi="宋体" w:eastAsia="宋体"/>
        <w:sz w:val="28"/>
        <w:szCs w:val="28"/>
      </w:rPr>
      <w:t>-</w:t>
    </w:r>
  </w:p>
  <w:p>
    <w:pPr>
      <w:pStyle w:val="6"/>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framePr w:wrap="around" w:vAnchor="text" w:hAnchor="margin" w:xAlign="outside" w:y="1"/>
      <w:rPr>
        <w:rStyle w:val="12"/>
      </w:rPr>
    </w:pPr>
    <w:r>
      <w:rPr>
        <w:rStyle w:val="12"/>
      </w:rPr>
      <w:fldChar w:fldCharType="begin"/>
    </w:r>
    <w:r>
      <w:rPr>
        <w:rStyle w:val="12"/>
      </w:rPr>
      <w:instrText xml:space="preserve">PAGE  </w:instrText>
    </w:r>
    <w:r>
      <w:rPr>
        <w:rStyle w:val="12"/>
      </w:rPr>
      <w:fldChar w:fldCharType="end"/>
    </w:r>
  </w:p>
  <w:p>
    <w:pPr>
      <w:pStyle w:val="6"/>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A3DFC06"/>
    <w:multiLevelType w:val="singleLevel"/>
    <w:tmpl w:val="3A3DFC06"/>
    <w:lvl w:ilvl="0" w:tentative="0">
      <w:start w:val="2"/>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042933"/>
    <w:rsid w:val="00002F2C"/>
    <w:rsid w:val="000070A8"/>
    <w:rsid w:val="00016CA4"/>
    <w:rsid w:val="000324AE"/>
    <w:rsid w:val="00042933"/>
    <w:rsid w:val="00074438"/>
    <w:rsid w:val="0008033E"/>
    <w:rsid w:val="00083780"/>
    <w:rsid w:val="0008759D"/>
    <w:rsid w:val="00094F2B"/>
    <w:rsid w:val="000B0A83"/>
    <w:rsid w:val="000B6322"/>
    <w:rsid w:val="000C2CC1"/>
    <w:rsid w:val="000E4A5A"/>
    <w:rsid w:val="00103547"/>
    <w:rsid w:val="00136EC7"/>
    <w:rsid w:val="0017068B"/>
    <w:rsid w:val="00185A3C"/>
    <w:rsid w:val="00192D5A"/>
    <w:rsid w:val="001C59B3"/>
    <w:rsid w:val="001D49CC"/>
    <w:rsid w:val="001E0886"/>
    <w:rsid w:val="001F7E31"/>
    <w:rsid w:val="002071BC"/>
    <w:rsid w:val="00225AE6"/>
    <w:rsid w:val="002270EB"/>
    <w:rsid w:val="00235F0F"/>
    <w:rsid w:val="00255783"/>
    <w:rsid w:val="00290BA1"/>
    <w:rsid w:val="002A6AEA"/>
    <w:rsid w:val="002F07DF"/>
    <w:rsid w:val="002F2268"/>
    <w:rsid w:val="003C50C2"/>
    <w:rsid w:val="0041099F"/>
    <w:rsid w:val="00436A1D"/>
    <w:rsid w:val="004379D7"/>
    <w:rsid w:val="004A68B1"/>
    <w:rsid w:val="004B64F3"/>
    <w:rsid w:val="004E3B64"/>
    <w:rsid w:val="005020C5"/>
    <w:rsid w:val="00567FE6"/>
    <w:rsid w:val="0058162A"/>
    <w:rsid w:val="005B2327"/>
    <w:rsid w:val="005B3616"/>
    <w:rsid w:val="005E12FA"/>
    <w:rsid w:val="006279F4"/>
    <w:rsid w:val="00683167"/>
    <w:rsid w:val="006A1CCC"/>
    <w:rsid w:val="006A5056"/>
    <w:rsid w:val="006E64C9"/>
    <w:rsid w:val="007048FF"/>
    <w:rsid w:val="00712100"/>
    <w:rsid w:val="0071700D"/>
    <w:rsid w:val="00742652"/>
    <w:rsid w:val="00752E24"/>
    <w:rsid w:val="00756EFC"/>
    <w:rsid w:val="00772600"/>
    <w:rsid w:val="007D5D41"/>
    <w:rsid w:val="007F01F9"/>
    <w:rsid w:val="00856BA1"/>
    <w:rsid w:val="00867620"/>
    <w:rsid w:val="008709E0"/>
    <w:rsid w:val="008A6A10"/>
    <w:rsid w:val="008A6A31"/>
    <w:rsid w:val="008C54C8"/>
    <w:rsid w:val="00904AF4"/>
    <w:rsid w:val="00905542"/>
    <w:rsid w:val="00917700"/>
    <w:rsid w:val="00921750"/>
    <w:rsid w:val="00956F74"/>
    <w:rsid w:val="009841E5"/>
    <w:rsid w:val="009B0B5F"/>
    <w:rsid w:val="009C04DA"/>
    <w:rsid w:val="009C4C62"/>
    <w:rsid w:val="009E3627"/>
    <w:rsid w:val="009F53E7"/>
    <w:rsid w:val="00A11BF8"/>
    <w:rsid w:val="00A14A33"/>
    <w:rsid w:val="00A6449D"/>
    <w:rsid w:val="00A768DB"/>
    <w:rsid w:val="00AA09C8"/>
    <w:rsid w:val="00AD5F30"/>
    <w:rsid w:val="00B0681D"/>
    <w:rsid w:val="00B56C08"/>
    <w:rsid w:val="00B9023F"/>
    <w:rsid w:val="00BC1FDC"/>
    <w:rsid w:val="00BD0FD8"/>
    <w:rsid w:val="00C44804"/>
    <w:rsid w:val="00C6362A"/>
    <w:rsid w:val="00C81363"/>
    <w:rsid w:val="00CB27A5"/>
    <w:rsid w:val="00CD55ED"/>
    <w:rsid w:val="00CD63C0"/>
    <w:rsid w:val="00CE62A0"/>
    <w:rsid w:val="00D21F0C"/>
    <w:rsid w:val="00D366C1"/>
    <w:rsid w:val="00D36CB5"/>
    <w:rsid w:val="00D877F7"/>
    <w:rsid w:val="00DB2D43"/>
    <w:rsid w:val="00E266F1"/>
    <w:rsid w:val="00E924C0"/>
    <w:rsid w:val="00EB16A8"/>
    <w:rsid w:val="00EC7904"/>
    <w:rsid w:val="00F72E93"/>
    <w:rsid w:val="00F87A11"/>
    <w:rsid w:val="00FB2D24"/>
    <w:rsid w:val="00FB7E01"/>
    <w:rsid w:val="00FE5F4C"/>
    <w:rsid w:val="00FF39F6"/>
    <w:rsid w:val="01610122"/>
    <w:rsid w:val="05374814"/>
    <w:rsid w:val="0C4E1E03"/>
    <w:rsid w:val="0C8F0285"/>
    <w:rsid w:val="0F8F6BFC"/>
    <w:rsid w:val="107166F3"/>
    <w:rsid w:val="19987400"/>
    <w:rsid w:val="1C841DE7"/>
    <w:rsid w:val="3791647A"/>
    <w:rsid w:val="435146F8"/>
    <w:rsid w:val="455969D8"/>
    <w:rsid w:val="485636BB"/>
    <w:rsid w:val="48725571"/>
    <w:rsid w:val="4BDB04ED"/>
    <w:rsid w:val="4EAC7801"/>
    <w:rsid w:val="526A3656"/>
    <w:rsid w:val="53CD5365"/>
    <w:rsid w:val="55C069E7"/>
    <w:rsid w:val="5D643D56"/>
    <w:rsid w:val="64283056"/>
    <w:rsid w:val="696510C1"/>
    <w:rsid w:val="69BD0A47"/>
    <w:rsid w:val="71A911C9"/>
    <w:rsid w:val="7793669D"/>
    <w:rsid w:val="7CCC213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6"/>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paragraph" w:styleId="3">
    <w:name w:val="heading 2"/>
    <w:basedOn w:val="1"/>
    <w:next w:val="1"/>
    <w:qFormat/>
    <w:uiPriority w:val="99"/>
    <w:pPr>
      <w:keepNext/>
      <w:keepLines/>
      <w:spacing w:before="260" w:after="260" w:line="416" w:lineRule="auto"/>
      <w:outlineLvl w:val="1"/>
    </w:pPr>
    <w:rPr>
      <w:rFonts w:ascii="Cambria" w:hAnsi="Cambria"/>
      <w:b/>
      <w:sz w:val="32"/>
      <w:szCs w:val="20"/>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4">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5">
    <w:name w:val="Plain Text"/>
    <w:basedOn w:val="1"/>
    <w:link w:val="15"/>
    <w:qFormat/>
    <w:uiPriority w:val="0"/>
    <w:rPr>
      <w:rFonts w:ascii="宋体" w:hAnsi="Courier New" w:eastAsia="宋体" w:cs="Courier New"/>
      <w:szCs w:val="21"/>
    </w:rPr>
  </w:style>
  <w:style w:type="paragraph" w:styleId="6">
    <w:name w:val="footer"/>
    <w:basedOn w:val="1"/>
    <w:link w:val="14"/>
    <w:unhideWhenUsed/>
    <w:qFormat/>
    <w:uiPriority w:val="99"/>
    <w:pPr>
      <w:tabs>
        <w:tab w:val="center" w:pos="4153"/>
        <w:tab w:val="right" w:pos="8306"/>
      </w:tabs>
      <w:snapToGrid w:val="0"/>
      <w:jc w:val="left"/>
    </w:pPr>
    <w:rPr>
      <w:sz w:val="18"/>
      <w:szCs w:val="18"/>
    </w:rPr>
  </w:style>
  <w:style w:type="paragraph" w:styleId="7">
    <w:name w:val="header"/>
    <w:basedOn w:val="1"/>
    <w:link w:val="13"/>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1">
    <w:name w:val="Strong"/>
    <w:basedOn w:val="10"/>
    <w:qFormat/>
    <w:uiPriority w:val="22"/>
    <w:rPr>
      <w:b/>
      <w:bCs/>
    </w:rPr>
  </w:style>
  <w:style w:type="character" w:styleId="12">
    <w:name w:val="page number"/>
    <w:basedOn w:val="10"/>
    <w:semiHidden/>
    <w:unhideWhenUsed/>
    <w:qFormat/>
    <w:uiPriority w:val="99"/>
  </w:style>
  <w:style w:type="character" w:customStyle="1" w:styleId="13">
    <w:name w:val="页眉 Char"/>
    <w:basedOn w:val="10"/>
    <w:link w:val="7"/>
    <w:qFormat/>
    <w:uiPriority w:val="99"/>
    <w:rPr>
      <w:sz w:val="18"/>
      <w:szCs w:val="18"/>
    </w:rPr>
  </w:style>
  <w:style w:type="character" w:customStyle="1" w:styleId="14">
    <w:name w:val="页脚 Char"/>
    <w:basedOn w:val="10"/>
    <w:link w:val="6"/>
    <w:qFormat/>
    <w:uiPriority w:val="99"/>
    <w:rPr>
      <w:sz w:val="18"/>
      <w:szCs w:val="18"/>
    </w:rPr>
  </w:style>
  <w:style w:type="character" w:customStyle="1" w:styleId="15">
    <w:name w:val="纯文本 Char"/>
    <w:basedOn w:val="10"/>
    <w:link w:val="5"/>
    <w:qFormat/>
    <w:uiPriority w:val="0"/>
    <w:rPr>
      <w:rFonts w:ascii="宋体" w:hAnsi="Courier New" w:eastAsia="宋体" w:cs="Courier New"/>
      <w:szCs w:val="21"/>
    </w:rPr>
  </w:style>
  <w:style w:type="character" w:customStyle="1" w:styleId="16">
    <w:name w:val="标题 1 Char"/>
    <w:basedOn w:val="10"/>
    <w:link w:val="2"/>
    <w:qFormat/>
    <w:uiPriority w:val="9"/>
    <w:rPr>
      <w:rFonts w:ascii="宋体" w:hAnsi="宋体" w:eastAsia="宋体" w:cs="宋体"/>
      <w:b/>
      <w:kern w:val="44"/>
      <w:sz w:val="48"/>
      <w:szCs w:val="48"/>
    </w:rPr>
  </w:style>
  <w:style w:type="character" w:customStyle="1" w:styleId="17">
    <w:name w:val="font31"/>
    <w:basedOn w:val="10"/>
    <w:qFormat/>
    <w:uiPriority w:val="0"/>
    <w:rPr>
      <w:rFonts w:hint="eastAsia" w:ascii="宋体" w:hAnsi="宋体" w:eastAsia="宋体" w:cs="宋体"/>
      <w:b/>
      <w:color w:val="000000"/>
      <w:sz w:val="36"/>
      <w:szCs w:val="36"/>
      <w:u w:val="none"/>
    </w:rPr>
  </w:style>
  <w:style w:type="paragraph" w:styleId="18">
    <w:name w:val="List Paragraph"/>
    <w:basedOn w:val="1"/>
    <w:unhideWhenUsed/>
    <w:qFormat/>
    <w:uiPriority w:val="99"/>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13</Pages>
  <Words>8001</Words>
  <Characters>8374</Characters>
  <Lines>40</Lines>
  <Paragraphs>11</Paragraphs>
  <TotalTime>37</TotalTime>
  <ScaleCrop>false</ScaleCrop>
  <LinksUpToDate>false</LinksUpToDate>
  <CharactersWithSpaces>8436</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2016-02-22T07:07:00Z</dcterms:created>
  <dc:creator>Administrator</dc:creator>
  <cp:lastModifiedBy> </cp:lastModifiedBy>
  <cp:lastPrinted>2018-11-29T03:23:00Z</cp:lastPrinted>
  <dcterms:modified xsi:type="dcterms:W3CDTF">2022-03-21T06:58:35Z</dcterms:modified>
  <cp:revision>79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5F1921265E0044A0A0149F753E40DF11</vt:lpwstr>
  </property>
</Properties>
</file>