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400" w:lineRule="exact"/>
        <w:jc w:val="left"/>
        <w:rPr>
          <w:rFonts w:ascii="仿宋" w:hAnsi="仿宋" w:eastAsia="仿宋" w:cs="仿宋"/>
          <w:kern w:val="0"/>
          <w:sz w:val="44"/>
          <w:szCs w:val="44"/>
          <w:shd w:val="clear" w:color="auto" w:fill="FFFFFF"/>
          <w:lang w:bidi="ar"/>
        </w:rPr>
      </w:pPr>
    </w:p>
    <w:p>
      <w:pPr>
        <w:spacing w:line="480" w:lineRule="exact"/>
        <w:jc w:val="center"/>
        <w:rPr>
          <w:rFonts w:ascii="仿宋_GB2312" w:hAnsi="仿宋" w:eastAsia="仿宋_GB2312" w:cs="仿宋"/>
          <w:b/>
          <w:bCs/>
          <w:kern w:val="0"/>
          <w:sz w:val="44"/>
          <w:szCs w:val="44"/>
          <w:shd w:val="clear" w:color="auto" w:fill="FFFFFF"/>
          <w:lang w:bidi="ar"/>
        </w:rPr>
      </w:pPr>
      <w:r>
        <w:rPr>
          <w:rFonts w:hint="eastAsia" w:ascii="仿宋_GB2312" w:hAnsi="仿宋" w:eastAsia="仿宋_GB2312" w:cs="仿宋"/>
          <w:b/>
          <w:bCs/>
          <w:kern w:val="0"/>
          <w:sz w:val="44"/>
          <w:szCs w:val="44"/>
          <w:shd w:val="clear" w:color="auto" w:fill="FFFFFF"/>
          <w:lang w:bidi="ar"/>
        </w:rPr>
        <w:t>隆尧县</w:t>
      </w:r>
      <w:r>
        <w:rPr>
          <w:rFonts w:hint="eastAsia" w:ascii="仿宋_GB2312" w:hAnsi="仿宋" w:eastAsia="仿宋_GB2312" w:cs="仿宋"/>
          <w:b/>
          <w:bCs/>
          <w:kern w:val="0"/>
          <w:sz w:val="44"/>
          <w:szCs w:val="44"/>
          <w:shd w:val="clear" w:color="auto" w:fill="FFFFFF"/>
          <w:lang w:eastAsia="zh-CN" w:bidi="ar"/>
        </w:rPr>
        <w:t>牛家桥乡</w:t>
      </w:r>
      <w:r>
        <w:rPr>
          <w:rFonts w:hint="eastAsia" w:ascii="仿宋_GB2312" w:hAnsi="仿宋" w:eastAsia="仿宋_GB2312" w:cs="仿宋"/>
          <w:b/>
          <w:bCs/>
          <w:kern w:val="0"/>
          <w:sz w:val="44"/>
          <w:szCs w:val="44"/>
          <w:shd w:val="clear" w:color="auto" w:fill="FFFFFF"/>
          <w:lang w:bidi="ar"/>
        </w:rPr>
        <w:t>人民政府</w:t>
      </w:r>
    </w:p>
    <w:p>
      <w:pPr>
        <w:spacing w:line="480" w:lineRule="exact"/>
        <w:jc w:val="center"/>
        <w:rPr>
          <w:rFonts w:ascii="仿宋_GB2312" w:hAnsi="仿宋" w:eastAsia="仿宋_GB2312" w:cs="仿宋"/>
          <w:b/>
          <w:sz w:val="44"/>
          <w:szCs w:val="44"/>
        </w:rPr>
      </w:pPr>
      <w:r>
        <w:rPr>
          <w:rFonts w:hint="eastAsia" w:ascii="仿宋_GB2312" w:hAnsi="仿宋" w:eastAsia="仿宋_GB2312" w:cs="仿宋"/>
          <w:b/>
          <w:sz w:val="44"/>
          <w:szCs w:val="44"/>
          <w:lang w:val="en-US" w:eastAsia="zh-CN"/>
        </w:rPr>
        <w:t>2021年</w:t>
      </w:r>
      <w:r>
        <w:rPr>
          <w:rFonts w:hint="eastAsia" w:ascii="仿宋_GB2312" w:hAnsi="仿宋" w:eastAsia="仿宋_GB2312" w:cs="仿宋"/>
          <w:b/>
          <w:sz w:val="44"/>
          <w:szCs w:val="44"/>
        </w:rPr>
        <w:t>部门整体支出绩效</w:t>
      </w:r>
      <w:r>
        <w:rPr>
          <w:rFonts w:hint="eastAsia" w:ascii="仿宋_GB2312" w:hAnsi="仿宋" w:eastAsia="仿宋_GB2312" w:cs="仿宋"/>
          <w:b/>
          <w:sz w:val="44"/>
          <w:szCs w:val="44"/>
          <w:lang w:val="en-US" w:eastAsia="zh-CN"/>
        </w:rPr>
        <w:t>自评</w:t>
      </w:r>
      <w:r>
        <w:rPr>
          <w:rFonts w:hint="eastAsia" w:ascii="仿宋_GB2312" w:hAnsi="仿宋" w:eastAsia="仿宋_GB2312" w:cs="仿宋"/>
          <w:b/>
          <w:color w:val="000000"/>
          <w:kern w:val="0"/>
          <w:sz w:val="44"/>
          <w:szCs w:val="44"/>
          <w:shd w:val="clear" w:color="auto" w:fill="FFFFFF"/>
          <w:lang w:bidi="ar"/>
        </w:rPr>
        <w:t>报告</w:t>
      </w:r>
    </w:p>
    <w:p>
      <w:pPr>
        <w:spacing w:line="240" w:lineRule="exact"/>
        <w:rPr>
          <w:rFonts w:ascii="仿宋" w:hAnsi="仿宋" w:eastAsia="仿宋" w:cs="仿宋"/>
          <w:sz w:val="32"/>
          <w:szCs w:val="32"/>
        </w:rPr>
      </w:pPr>
    </w:p>
    <w:p>
      <w:pPr>
        <w:spacing w:line="62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根据县财政局的要求，我单位对202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</w:rPr>
        <w:t>年部门整体支出进行了认真的自评，现将自评情况报告如下：</w:t>
      </w:r>
    </w:p>
    <w:p>
      <w:pPr>
        <w:spacing w:line="620" w:lineRule="exact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一、绩效自评得分情况及绩效等级</w:t>
      </w:r>
    </w:p>
    <w:p>
      <w:pPr>
        <w:spacing w:line="620" w:lineRule="exact"/>
        <w:ind w:firstLine="640" w:firstLineChars="200"/>
      </w:pPr>
      <w:r>
        <w:rPr>
          <w:rFonts w:hint="eastAsia" w:ascii="仿宋" w:hAnsi="仿宋" w:eastAsia="仿宋" w:cs="仿宋"/>
          <w:sz w:val="32"/>
          <w:szCs w:val="32"/>
        </w:rPr>
        <w:t>综合自评分9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 w:cs="仿宋"/>
          <w:sz w:val="32"/>
          <w:szCs w:val="32"/>
        </w:rPr>
        <w:t>分，绩效等级为合格。</w:t>
      </w:r>
    </w:p>
    <w:p>
      <w:pPr>
        <w:rPr>
          <w:rFonts w:ascii="仿宋" w:hAnsi="仿宋" w:eastAsia="仿宋" w:cs="仿宋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</w:rPr>
        <w:t>二、部门基本情况：</w:t>
      </w:r>
    </w:p>
    <w:p>
      <w:pPr>
        <w:pStyle w:val="5"/>
        <w:spacing w:line="360" w:lineRule="auto"/>
        <w:ind w:firstLine="472"/>
        <w:rPr>
          <w:rFonts w:ascii="仿宋_GB2312" w:hAnsi="仿宋"/>
          <w:color w:val="000000"/>
        </w:rPr>
      </w:pPr>
      <w:r>
        <w:rPr>
          <w:rFonts w:hint="eastAsia" w:ascii="仿宋_GB2312" w:hAnsi="仿宋"/>
          <w:color w:val="000000"/>
        </w:rPr>
        <w:t>1．主要职能。</w:t>
      </w:r>
    </w:p>
    <w:p>
      <w:pPr>
        <w:pStyle w:val="21"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360" w:lineRule="auto"/>
        <w:ind w:firstLine="640" w:firstLineChars="200"/>
        <w:rPr>
          <w:rFonts w:ascii="仿宋_GB2312" w:eastAsia="仿宋_GB2312" w:cs="宋体"/>
          <w:color w:val="000000"/>
          <w:sz w:val="32"/>
          <w:szCs w:val="32"/>
          <w:lang w:eastAsia="zh-CN"/>
        </w:rPr>
      </w:pPr>
      <w:r>
        <w:rPr>
          <w:rFonts w:hint="eastAsia" w:ascii="仿宋_GB2312" w:eastAsia="仿宋_GB2312" w:cs="宋体"/>
          <w:color w:val="000000"/>
          <w:sz w:val="32"/>
          <w:szCs w:val="32"/>
          <w:lang w:eastAsia="zh-CN"/>
        </w:rPr>
        <w:t>一、宣传贯彻执行党的路线方针政策和党中央、上级党组织及本乡党员代表大会（党员大会）的决议。贯彻执行法律、法规、规章和上级人民代表大会及其常务委员会决议及上级政府的决定、命令，执行本级人民代表大会的决议。</w:t>
      </w:r>
    </w:p>
    <w:p>
      <w:pPr>
        <w:pStyle w:val="21"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360" w:lineRule="auto"/>
        <w:ind w:firstLine="640" w:firstLineChars="200"/>
        <w:rPr>
          <w:rFonts w:ascii="仿宋_GB2312" w:eastAsia="仿宋_GB2312" w:cs="宋体"/>
          <w:color w:val="000000"/>
          <w:sz w:val="32"/>
          <w:szCs w:val="32"/>
          <w:lang w:eastAsia="zh-CN"/>
        </w:rPr>
      </w:pPr>
      <w:r>
        <w:rPr>
          <w:rFonts w:hint="eastAsia" w:ascii="仿宋_GB2312" w:eastAsia="仿宋_GB2312" w:cs="宋体"/>
          <w:color w:val="000000"/>
          <w:sz w:val="32"/>
          <w:szCs w:val="32"/>
          <w:lang w:eastAsia="zh-CN"/>
        </w:rPr>
        <w:t>二、讨论和决定本乡经济建设、整治建设、文化建设、社会建设、生态文明建设和党的建设以及村振兴中的重大问题。</w:t>
      </w:r>
    </w:p>
    <w:p>
      <w:pPr>
        <w:pStyle w:val="21"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360" w:lineRule="auto"/>
        <w:ind w:firstLine="640" w:firstLineChars="200"/>
        <w:rPr>
          <w:rFonts w:ascii="仿宋_GB2312" w:eastAsia="仿宋_GB2312" w:cs="宋体"/>
          <w:color w:val="000000"/>
          <w:sz w:val="32"/>
          <w:szCs w:val="32"/>
          <w:lang w:eastAsia="zh-CN"/>
        </w:rPr>
      </w:pPr>
      <w:r>
        <w:rPr>
          <w:rFonts w:hint="eastAsia" w:ascii="仿宋_GB2312" w:eastAsia="仿宋_GB2312" w:cs="宋体"/>
          <w:color w:val="000000"/>
          <w:sz w:val="32"/>
          <w:szCs w:val="32"/>
          <w:lang w:eastAsia="zh-CN"/>
        </w:rPr>
        <w:t>三、组织召开本级人民代表大会，充分行使重大事项决定权、监督权和任免权，做好人大代表工作，联系选民、反映群众意见和要求。</w:t>
      </w:r>
    </w:p>
    <w:p>
      <w:pPr>
        <w:pStyle w:val="21"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360" w:lineRule="auto"/>
        <w:ind w:firstLine="640" w:firstLineChars="200"/>
        <w:rPr>
          <w:rFonts w:ascii="仿宋_GB2312" w:eastAsia="仿宋_GB2312" w:cs="宋体"/>
          <w:color w:val="000000"/>
          <w:sz w:val="32"/>
          <w:szCs w:val="32"/>
          <w:lang w:eastAsia="zh-CN"/>
        </w:rPr>
      </w:pPr>
      <w:r>
        <w:rPr>
          <w:rFonts w:hint="eastAsia" w:ascii="仿宋_GB2312" w:eastAsia="仿宋_GB2312" w:cs="宋体"/>
          <w:color w:val="000000"/>
          <w:sz w:val="32"/>
          <w:szCs w:val="32"/>
          <w:lang w:eastAsia="zh-CN"/>
        </w:rPr>
        <w:t>四、执行本行政区域内的经济和社会发展计划、预算，管理本行政区域内的经济、教育、科学、文化、卫生健康、体育事业和财政、统计、民政、司法行政等行政工作。落实本行政区域内发展规划、专项规划、区域规划、国土空间规划。</w:t>
      </w:r>
    </w:p>
    <w:p>
      <w:pPr>
        <w:pStyle w:val="21"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360" w:lineRule="auto"/>
        <w:ind w:firstLine="640" w:firstLineChars="200"/>
        <w:rPr>
          <w:rFonts w:ascii="仿宋_GB2312" w:eastAsia="仿宋_GB2312" w:cs="宋体"/>
          <w:color w:val="000000"/>
          <w:sz w:val="30"/>
          <w:szCs w:val="30"/>
          <w:lang w:eastAsia="zh-CN"/>
        </w:rPr>
      </w:pPr>
      <w:r>
        <w:rPr>
          <w:rFonts w:hint="eastAsia" w:ascii="仿宋_GB2312" w:eastAsia="仿宋_GB2312" w:cs="宋体"/>
          <w:color w:val="000000"/>
          <w:sz w:val="32"/>
          <w:szCs w:val="32"/>
          <w:lang w:eastAsia="zh-CN"/>
        </w:rPr>
        <w:t>五、乡党委领导本乡政权机关、群团组织和其他各类组织，加强指导和规范，支持和保证这些机关和组织依照国家法律法规以</w:t>
      </w:r>
      <w:r>
        <w:rPr>
          <w:rFonts w:hint="eastAsia" w:ascii="仿宋_GB2312" w:eastAsia="仿宋_GB2312" w:cs="宋体"/>
          <w:color w:val="000000"/>
          <w:sz w:val="30"/>
          <w:szCs w:val="30"/>
          <w:lang w:eastAsia="zh-CN"/>
        </w:rPr>
        <w:t>及各自章程履行职责。坚持党管武装的根本原则和制度，协调各方力量，对本乡人民武装工作实行统一领导。</w:t>
      </w:r>
    </w:p>
    <w:p>
      <w:pPr>
        <w:pStyle w:val="21"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360" w:lineRule="auto"/>
        <w:ind w:firstLine="600" w:firstLineChars="200"/>
        <w:rPr>
          <w:rFonts w:ascii="仿宋_GB2312" w:eastAsia="仿宋_GB2312" w:cs="宋体"/>
          <w:color w:val="000000"/>
          <w:sz w:val="30"/>
          <w:szCs w:val="30"/>
          <w:lang w:eastAsia="zh-CN"/>
        </w:rPr>
      </w:pPr>
      <w:r>
        <w:rPr>
          <w:rFonts w:hint="eastAsia" w:ascii="仿宋_GB2312" w:eastAsia="仿宋_GB2312" w:cs="宋体"/>
          <w:color w:val="000000"/>
          <w:sz w:val="30"/>
          <w:szCs w:val="30"/>
          <w:lang w:eastAsia="zh-CN"/>
        </w:rPr>
        <w:t>六、加强乡党委自身建设和村党组织建设，以及其他隶属本乡党委的党组织建设，抓好发展党员工作，加强党员队伍建设。维护和执行党的纪律，监督党员干部和其他任何工作严格遵守国家法律法规。</w:t>
      </w:r>
    </w:p>
    <w:p>
      <w:pPr>
        <w:pStyle w:val="21"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360" w:lineRule="auto"/>
        <w:ind w:firstLine="600" w:firstLineChars="200"/>
        <w:rPr>
          <w:rFonts w:ascii="仿宋_GB2312" w:eastAsia="仿宋_GB2312" w:cs="宋体"/>
          <w:color w:val="000000"/>
          <w:sz w:val="30"/>
          <w:szCs w:val="30"/>
          <w:lang w:eastAsia="zh-CN"/>
        </w:rPr>
      </w:pPr>
      <w:r>
        <w:rPr>
          <w:rFonts w:hint="eastAsia" w:ascii="仿宋_GB2312" w:eastAsia="仿宋_GB2312" w:cs="宋体"/>
          <w:color w:val="000000"/>
          <w:sz w:val="30"/>
          <w:szCs w:val="30"/>
          <w:lang w:eastAsia="zh-CN"/>
        </w:rPr>
        <w:t>七、按照干部管理权限，负责对干部的教育、培训、选拔、考核和监督工作。协助管理上级有关部门驻本乡单位的干部。做好人才服务工作。</w:t>
      </w:r>
    </w:p>
    <w:p>
      <w:pPr>
        <w:pStyle w:val="21"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360" w:lineRule="auto"/>
        <w:ind w:firstLine="600" w:firstLineChars="200"/>
        <w:rPr>
          <w:rFonts w:ascii="仿宋_GB2312" w:eastAsia="仿宋_GB2312" w:cs="宋体"/>
          <w:color w:val="000000"/>
          <w:sz w:val="30"/>
          <w:szCs w:val="30"/>
          <w:lang w:eastAsia="zh-CN"/>
        </w:rPr>
      </w:pPr>
      <w:r>
        <w:rPr>
          <w:rFonts w:hint="eastAsia" w:ascii="仿宋_GB2312" w:eastAsia="仿宋_GB2312" w:cs="宋体"/>
          <w:color w:val="000000"/>
          <w:sz w:val="30"/>
          <w:szCs w:val="30"/>
          <w:lang w:eastAsia="zh-CN"/>
        </w:rPr>
        <w:t>八、领导本乡的基层治理，加强社会主义民主法治建设和精神文明建设，加强社会治安综合治理，做好应急管理、生态环保、乡村振兴、民生保障、脱贫致富、民族宗教、防范邪教等工作。承担民兵预备役、征兵、退役军人服务、拥军优属等工作。</w:t>
      </w:r>
    </w:p>
    <w:p>
      <w:pPr>
        <w:pStyle w:val="21"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360" w:lineRule="auto"/>
        <w:ind w:firstLine="600" w:firstLineChars="200"/>
        <w:rPr>
          <w:rFonts w:ascii="仿宋_GB2312" w:eastAsia="仿宋_GB2312" w:cs="宋体"/>
          <w:color w:val="000000"/>
          <w:sz w:val="30"/>
          <w:szCs w:val="30"/>
          <w:lang w:eastAsia="zh-CN"/>
        </w:rPr>
      </w:pPr>
      <w:r>
        <w:rPr>
          <w:rFonts w:hint="eastAsia" w:ascii="仿宋_GB2312" w:eastAsia="仿宋_GB2312" w:cs="宋体"/>
          <w:color w:val="000000"/>
          <w:sz w:val="30"/>
          <w:szCs w:val="30"/>
          <w:lang w:eastAsia="zh-CN"/>
        </w:rPr>
        <w:t>九、保护社会主义的全民所有的财产和劳动群众集体所有的财产，保护公民私人所有的合法财产，维护社会秩序，保障公民的人身权利、民主权利和其他权利。保护各种经济组织的合法权益。保障各少数民族的合法权利和利益，尊重少数民族的风俗习惯。保障宪法和法律赋予妇女的男女平等、同工同酬的婚姻自由等各项权利。</w:t>
      </w:r>
    </w:p>
    <w:p>
      <w:pPr>
        <w:pStyle w:val="21"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360" w:lineRule="auto"/>
        <w:ind w:firstLine="600" w:firstLineChars="200"/>
        <w:rPr>
          <w:rFonts w:ascii="仿宋_GB2312" w:eastAsia="仿宋_GB2312" w:cs="宋体"/>
          <w:color w:val="000000"/>
          <w:sz w:val="30"/>
          <w:szCs w:val="30"/>
          <w:lang w:eastAsia="zh-CN"/>
        </w:rPr>
      </w:pPr>
      <w:r>
        <w:rPr>
          <w:rFonts w:hint="eastAsia" w:ascii="仿宋_GB2312" w:eastAsia="仿宋_GB2312" w:cs="宋体"/>
          <w:color w:val="000000"/>
          <w:sz w:val="30"/>
          <w:szCs w:val="30"/>
          <w:lang w:eastAsia="zh-CN"/>
        </w:rPr>
        <w:t>十、承办上级党委、人大、政府交办的其他事项。</w:t>
      </w:r>
    </w:p>
    <w:p>
      <w:pPr>
        <w:pStyle w:val="5"/>
        <w:spacing w:line="360" w:lineRule="auto"/>
        <w:ind w:firstLine="472"/>
        <w:rPr>
          <w:rFonts w:ascii="仿宋_GB2312" w:hAnsi="仿宋"/>
          <w:color w:val="000000"/>
          <w:sz w:val="30"/>
          <w:szCs w:val="30"/>
        </w:rPr>
      </w:pPr>
      <w:r>
        <w:rPr>
          <w:rFonts w:hint="eastAsia" w:ascii="仿宋_GB2312" w:hAnsi="仿宋"/>
          <w:color w:val="000000"/>
          <w:sz w:val="30"/>
          <w:szCs w:val="30"/>
        </w:rPr>
        <w:t>2．机构情况，包括当年变动情况及原因。</w:t>
      </w:r>
    </w:p>
    <w:p>
      <w:pPr>
        <w:spacing w:line="360" w:lineRule="auto"/>
        <w:ind w:firstLine="640"/>
        <w:rPr>
          <w:rFonts w:ascii="仿宋_GB2312" w:hAnsi="仿宋" w:eastAsia="仿宋_GB2312" w:cs="宋体"/>
          <w:kern w:val="0"/>
          <w:sz w:val="30"/>
          <w:szCs w:val="30"/>
        </w:rPr>
      </w:pPr>
      <w:r>
        <w:rPr>
          <w:rFonts w:hint="eastAsia" w:ascii="仿宋_GB2312" w:hAnsi="仿宋" w:eastAsia="仿宋_GB2312"/>
          <w:kern w:val="0"/>
          <w:sz w:val="30"/>
          <w:szCs w:val="30"/>
        </w:rPr>
        <w:t>行政机构设置有党政办公室（财经工作办公室）、党建工作办公室（人大主席团办公室）、应急管理办公室、自然资源和生态环境办公室、综合行政执法队；行政综合服务中心（综合文化服务站）、农业综合服务中心、退役军人服务站、综合指挥和信息化网络中心（社会治安综合治理中心）。</w:t>
      </w:r>
    </w:p>
    <w:p>
      <w:pPr>
        <w:pStyle w:val="5"/>
        <w:spacing w:line="360" w:lineRule="auto"/>
        <w:ind w:firstLine="472"/>
        <w:rPr>
          <w:rFonts w:ascii="仿宋_GB2312" w:hAnsi="仿宋"/>
          <w:color w:val="000000"/>
          <w:sz w:val="30"/>
          <w:szCs w:val="30"/>
        </w:rPr>
      </w:pPr>
      <w:r>
        <w:rPr>
          <w:rFonts w:hint="eastAsia" w:ascii="仿宋_GB2312" w:hAnsi="仿宋"/>
          <w:color w:val="000000"/>
          <w:sz w:val="30"/>
          <w:szCs w:val="30"/>
        </w:rPr>
        <w:t>3．人员情况，包括当年变动情况及原因。</w:t>
      </w:r>
    </w:p>
    <w:p>
      <w:pPr>
        <w:pStyle w:val="5"/>
        <w:spacing w:line="360" w:lineRule="auto"/>
        <w:ind w:firstLine="472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202</w:t>
      </w:r>
      <w:r>
        <w:rPr>
          <w:rFonts w:hint="eastAsia" w:ascii="仿宋_GB2312" w:hAnsi="仿宋"/>
          <w:sz w:val="32"/>
          <w:szCs w:val="32"/>
          <w:lang w:val="en-US" w:eastAsia="zh-CN"/>
        </w:rPr>
        <w:t>1</w:t>
      </w:r>
      <w:r>
        <w:rPr>
          <w:rFonts w:hint="eastAsia" w:ascii="仿宋_GB2312" w:hAnsi="仿宋" w:eastAsia="仿宋_GB2312"/>
          <w:sz w:val="32"/>
          <w:szCs w:val="32"/>
        </w:rPr>
        <w:t>年财政供养人员减少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" w:eastAsia="仿宋_GB2312"/>
          <w:sz w:val="32"/>
          <w:szCs w:val="32"/>
        </w:rPr>
        <w:t>人，共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59</w:t>
      </w:r>
      <w:r>
        <w:rPr>
          <w:rFonts w:hint="eastAsia" w:ascii="仿宋_GB2312" w:hAnsi="仿宋" w:eastAsia="仿宋_GB2312"/>
          <w:sz w:val="32"/>
          <w:szCs w:val="32"/>
        </w:rPr>
        <w:t>人，其中全额财政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47</w:t>
      </w:r>
      <w:r>
        <w:rPr>
          <w:rFonts w:hint="eastAsia" w:ascii="仿宋_GB2312" w:hAnsi="仿宋" w:eastAsia="仿宋_GB2312"/>
          <w:sz w:val="32"/>
          <w:szCs w:val="32"/>
        </w:rPr>
        <w:t>人，退休12人</w:t>
      </w:r>
      <w:r>
        <w:rPr>
          <w:rFonts w:hint="eastAsia" w:ascii="仿宋_GB2312" w:hAnsi="仿宋"/>
          <w:sz w:val="32"/>
          <w:szCs w:val="32"/>
          <w:lang w:eastAsia="zh-CN"/>
        </w:rPr>
        <w:t>，减少原因为人员调动</w:t>
      </w:r>
      <w:r>
        <w:rPr>
          <w:rFonts w:hint="eastAsia" w:ascii="仿宋_GB2312" w:hAnsi="仿宋" w:eastAsia="仿宋_GB2312"/>
          <w:sz w:val="32"/>
          <w:szCs w:val="32"/>
        </w:rPr>
        <w:t>。</w:t>
      </w:r>
    </w:p>
    <w:p>
      <w:pPr>
        <w:pStyle w:val="5"/>
        <w:spacing w:line="360" w:lineRule="auto"/>
        <w:ind w:firstLine="472"/>
        <w:rPr>
          <w:rFonts w:ascii="仿宋_GB2312" w:hAnsi="仿宋"/>
          <w:color w:val="000000"/>
          <w:sz w:val="30"/>
          <w:szCs w:val="30"/>
        </w:rPr>
      </w:pPr>
      <w:r>
        <w:rPr>
          <w:rFonts w:hint="eastAsia" w:ascii="仿宋_GB2312" w:hAnsi="仿宋"/>
          <w:color w:val="000000"/>
          <w:sz w:val="30"/>
          <w:szCs w:val="30"/>
        </w:rPr>
        <w:t>三、当年取得的主要事业成效。</w:t>
      </w:r>
    </w:p>
    <w:p>
      <w:pPr>
        <w:pStyle w:val="5"/>
        <w:spacing w:line="360" w:lineRule="auto"/>
        <w:ind w:firstLine="472"/>
        <w:rPr>
          <w:rFonts w:ascii="仿宋_GB2312" w:hAnsi="仿宋"/>
          <w:color w:val="000000"/>
          <w:sz w:val="30"/>
          <w:szCs w:val="30"/>
        </w:rPr>
      </w:pPr>
      <w:r>
        <w:rPr>
          <w:rFonts w:hint="eastAsia" w:ascii="仿宋_GB2312" w:hAnsi="仿宋"/>
          <w:color w:val="000000"/>
          <w:sz w:val="30"/>
          <w:szCs w:val="30"/>
        </w:rPr>
        <w:t>概述部门（单位）工作开展情况及主要事业成效。</w:t>
      </w:r>
    </w:p>
    <w:p>
      <w:pPr>
        <w:spacing w:line="360" w:lineRule="auto"/>
        <w:ind w:firstLine="560"/>
        <w:rPr>
          <w:rFonts w:ascii="仿宋_GB2312" w:hAnsi="仿宋" w:eastAsia="仿宋_GB2312" w:cs="仿宋"/>
          <w:kern w:val="0"/>
          <w:sz w:val="30"/>
          <w:szCs w:val="30"/>
        </w:rPr>
      </w:pPr>
      <w:r>
        <w:rPr>
          <w:rFonts w:hint="eastAsia" w:ascii="仿宋_GB2312" w:hAnsi="仿宋" w:eastAsia="仿宋_GB2312" w:cs="仿宋"/>
          <w:kern w:val="0"/>
          <w:sz w:val="30"/>
          <w:szCs w:val="30"/>
        </w:rPr>
        <w:t>1、切实加强税收征管，保障财政收入稳定增长。加大综合治税力度，以新财政体制改革为突破口，财税部门密切配合，建立动态、完整、详实的税源档案，增强收入预测的科学性和可靠性，加强对征入征管的分析，确保税收及时入库。突出对重点税源行业、重点企业的监控，支持税务部门依法加强收入征管，不断规范和完善非税收入管理，依法应收尽收。强化财政收入的监督检查，防止收取“过头税”、“过头费”、虚增收入等行为，切实提高财政收入质量。</w:t>
      </w:r>
    </w:p>
    <w:p>
      <w:pPr>
        <w:spacing w:line="360" w:lineRule="auto"/>
        <w:ind w:firstLine="560"/>
        <w:rPr>
          <w:rFonts w:ascii="仿宋_GB2312" w:hAnsi="仿宋" w:eastAsia="仿宋_GB2312" w:cs="仿宋"/>
          <w:kern w:val="0"/>
          <w:sz w:val="30"/>
          <w:szCs w:val="30"/>
        </w:rPr>
      </w:pPr>
      <w:r>
        <w:rPr>
          <w:rFonts w:hint="eastAsia" w:ascii="仿宋_GB2312" w:hAnsi="仿宋" w:eastAsia="仿宋_GB2312" w:cs="仿宋"/>
          <w:kern w:val="0"/>
          <w:sz w:val="30"/>
          <w:szCs w:val="30"/>
        </w:rPr>
        <w:t>2、认真落实各项强农惠农富农政策，努力实现农业增产农民增收。认真落实财政强农惠农富农政策，加大对种粮农民补贴力度。深入推进涉农资金整合统筹，大力支持农业综合开发、农业社会化服务体系和农村专业合作组织建设，提升农村经济发展水平。支持现代农业项目发展，提升农田水利建设水平。支持幸福乡村建设，深入推进新农村建设进程，全面改善农村生产生活条件。深化农村综合改革，完善一事一议财政奖补政策。</w:t>
      </w:r>
    </w:p>
    <w:p>
      <w:pPr>
        <w:spacing w:line="360" w:lineRule="auto"/>
        <w:ind w:firstLine="560"/>
        <w:rPr>
          <w:rFonts w:ascii="仿宋_GB2312" w:hAnsi="仿宋" w:eastAsia="仿宋_GB2312" w:cs="仿宋"/>
          <w:kern w:val="0"/>
          <w:sz w:val="30"/>
          <w:szCs w:val="30"/>
        </w:rPr>
      </w:pPr>
      <w:r>
        <w:rPr>
          <w:rFonts w:hint="eastAsia" w:ascii="仿宋_GB2312" w:hAnsi="仿宋" w:eastAsia="仿宋_GB2312" w:cs="仿宋"/>
          <w:kern w:val="0"/>
          <w:sz w:val="30"/>
          <w:szCs w:val="30"/>
        </w:rPr>
        <w:t>3、继续加大民生投入，提高群众生活水平。一是医疗卫生工程。积极扩大新型农村合作医疗覆盖面、深入推进医疗卫生体制改革，不断提高城</w:t>
      </w:r>
      <w:r>
        <w:rPr>
          <w:rFonts w:hint="eastAsia" w:ascii="仿宋_GB2312" w:hAnsi="仿宋" w:eastAsia="仿宋_GB2312" w:cs="仿宋"/>
          <w:kern w:val="0"/>
          <w:sz w:val="30"/>
          <w:szCs w:val="30"/>
          <w:lang w:eastAsia="zh-CN"/>
        </w:rPr>
        <w:t>乡</w:t>
      </w:r>
      <w:r>
        <w:rPr>
          <w:rFonts w:hint="eastAsia" w:ascii="仿宋_GB2312" w:hAnsi="仿宋" w:eastAsia="仿宋_GB2312" w:cs="仿宋"/>
          <w:kern w:val="0"/>
          <w:sz w:val="30"/>
          <w:szCs w:val="30"/>
        </w:rPr>
        <w:t>群众的就医条件和水平。二是社会保障体系工程。不断扩大养老、医疗、工伤、失业等社会保险覆盖面，积极开展就业援助行动，扎实推进农村养老“幸福工程”，对农村低保、五保继续实行动态管理下的应保尽保。</w:t>
      </w:r>
    </w:p>
    <w:p>
      <w:pPr>
        <w:spacing w:line="360" w:lineRule="auto"/>
        <w:ind w:firstLine="560"/>
        <w:rPr>
          <w:rFonts w:ascii="仿宋_GB2312" w:hAnsi="仿宋" w:eastAsia="仿宋_GB2312" w:cs="仿宋"/>
          <w:kern w:val="0"/>
          <w:sz w:val="30"/>
          <w:szCs w:val="30"/>
        </w:rPr>
      </w:pPr>
      <w:r>
        <w:rPr>
          <w:rFonts w:hint="eastAsia" w:ascii="仿宋_GB2312" w:hAnsi="仿宋" w:eastAsia="仿宋_GB2312" w:cs="仿宋"/>
          <w:kern w:val="0"/>
          <w:sz w:val="30"/>
          <w:szCs w:val="30"/>
        </w:rPr>
        <w:t>4、实行多渠道开源节流，严格落实厉行节约各项措施。首先要开源。认真分析研究上级财政政策，联合相关部门积极进行项目申报，争取各种专项资金、各种补贴资金、贴息资金和转移支付资金，其次要节流。严格落实厉行节约各项措施，严格控制公用经费等一般性支出。加强公务车辆管理和使用、公务接待范围和标准，“三公经费”支出实行零增长。深化会议经费管理改革，强化部门支出责任，继续实行预算执行进度通报制度，加强支出审核，健全结余结转资金管理机制，提高预算执行的均衡性、有效性。</w:t>
      </w:r>
    </w:p>
    <w:p>
      <w:pPr>
        <w:widowControl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360" w:lineRule="auto"/>
        <w:ind w:firstLine="600" w:firstLineChars="200"/>
        <w:jc w:val="left"/>
      </w:pPr>
      <w:r>
        <w:rPr>
          <w:rFonts w:hint="eastAsia" w:ascii="仿宋_GB2312" w:hAnsi="宋体" w:eastAsia="仿宋_GB2312" w:cs="宋体"/>
          <w:color w:val="000000"/>
          <w:kern w:val="0"/>
          <w:sz w:val="30"/>
          <w:szCs w:val="30"/>
        </w:rPr>
        <w:t>5、加强作风建设，为事业发展提供坚强保障。深入学习</w:t>
      </w:r>
      <w:r>
        <w:rPr>
          <w:rFonts w:hint="eastAsia" w:ascii="仿宋_GB2312" w:hAnsi="宋体" w:eastAsia="仿宋_GB2312" w:cs="宋体"/>
          <w:kern w:val="0"/>
          <w:sz w:val="30"/>
          <w:szCs w:val="30"/>
        </w:rPr>
        <w:t>党的十九大和十九届二中、三中、四中、五中全会精神，认真落实党中央、国务院和省市决策部署，坚持稳重求近工作总基调，坚持新发展理念，坚持“求真务实、敢于担当、艰苦奋斗”的原则，严格落实中央关于改进工作作风，进一步加强党风廉政建设，认真落实党风廉政建设责任制，严格履行“一岗双责”，进一步优化服务环境。</w:t>
      </w:r>
    </w:p>
    <w:p>
      <w:pPr>
        <w:snapToGrid w:val="0"/>
        <w:spacing w:line="520" w:lineRule="exact"/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四、支出情况。</w:t>
      </w:r>
    </w:p>
    <w:p>
      <w:pPr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202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" w:eastAsia="仿宋_GB2312"/>
          <w:sz w:val="32"/>
          <w:szCs w:val="32"/>
        </w:rPr>
        <w:t>年全乡财政预算总支出完成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1129.2</w:t>
      </w:r>
      <w:r>
        <w:rPr>
          <w:rFonts w:hint="eastAsia" w:ascii="仿宋_GB2312" w:hAnsi="仿宋" w:eastAsia="仿宋_GB2312"/>
          <w:sz w:val="32"/>
          <w:szCs w:val="32"/>
        </w:rPr>
        <w:t>万元</w:t>
      </w:r>
    </w:p>
    <w:p>
      <w:pPr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1、一般公共服务支出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433.22</w:t>
      </w:r>
      <w:r>
        <w:rPr>
          <w:rFonts w:hint="eastAsia" w:ascii="仿宋_GB2312" w:hAnsi="仿宋" w:eastAsia="仿宋_GB2312"/>
          <w:sz w:val="32"/>
          <w:szCs w:val="32"/>
        </w:rPr>
        <w:t>万元，占全年预算的,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38.36</w:t>
      </w:r>
      <w:r>
        <w:rPr>
          <w:rFonts w:hint="eastAsia" w:ascii="仿宋_GB2312" w:hAnsi="仿宋" w:eastAsia="仿宋_GB2312"/>
          <w:sz w:val="32"/>
          <w:szCs w:val="32"/>
        </w:rPr>
        <w:t>%；</w:t>
      </w:r>
    </w:p>
    <w:p>
      <w:pPr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2、文化旅游体育与传媒支出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1.2</w:t>
      </w:r>
      <w:r>
        <w:rPr>
          <w:rFonts w:hint="eastAsia" w:ascii="仿宋_GB2312" w:hAnsi="仿宋" w:eastAsia="仿宋_GB2312"/>
          <w:sz w:val="32"/>
          <w:szCs w:val="32"/>
        </w:rPr>
        <w:t>万元，占全年预算的0.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11</w:t>
      </w:r>
      <w:r>
        <w:rPr>
          <w:rFonts w:hint="eastAsia" w:ascii="仿宋_GB2312" w:hAnsi="仿宋" w:eastAsia="仿宋_GB2312"/>
          <w:sz w:val="32"/>
          <w:szCs w:val="32"/>
        </w:rPr>
        <w:t>%；</w:t>
      </w:r>
    </w:p>
    <w:p>
      <w:pPr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3、社会保障和就业支出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84.13</w:t>
      </w:r>
      <w:r>
        <w:rPr>
          <w:rFonts w:hint="eastAsia" w:ascii="仿宋_GB2312" w:hAnsi="仿宋" w:eastAsia="仿宋_GB2312"/>
          <w:sz w:val="32"/>
          <w:szCs w:val="32"/>
        </w:rPr>
        <w:t>万元，占全年预算的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7.5</w:t>
      </w:r>
      <w:r>
        <w:rPr>
          <w:rFonts w:hint="eastAsia" w:ascii="仿宋_GB2312" w:hAnsi="仿宋" w:eastAsia="仿宋_GB2312"/>
          <w:sz w:val="32"/>
          <w:szCs w:val="32"/>
        </w:rPr>
        <w:t>%；</w:t>
      </w:r>
    </w:p>
    <w:p>
      <w:pPr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4、卫生健康支出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26.92</w:t>
      </w:r>
      <w:r>
        <w:rPr>
          <w:rFonts w:hint="eastAsia" w:ascii="仿宋_GB2312" w:hAnsi="仿宋" w:eastAsia="仿宋_GB2312"/>
          <w:sz w:val="32"/>
          <w:szCs w:val="32"/>
        </w:rPr>
        <w:t>万元，占全年预算的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2.37</w:t>
      </w:r>
      <w:r>
        <w:rPr>
          <w:rFonts w:hint="eastAsia" w:ascii="仿宋_GB2312" w:hAnsi="仿宋" w:eastAsia="仿宋_GB2312"/>
          <w:sz w:val="32"/>
          <w:szCs w:val="32"/>
        </w:rPr>
        <w:t>%</w:t>
      </w:r>
    </w:p>
    <w:p>
      <w:pPr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5、节能环保支出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29.27</w:t>
      </w:r>
      <w:r>
        <w:rPr>
          <w:rFonts w:hint="eastAsia" w:ascii="仿宋_GB2312" w:hAnsi="仿宋" w:eastAsia="仿宋_GB2312"/>
          <w:sz w:val="32"/>
          <w:szCs w:val="32"/>
        </w:rPr>
        <w:t>万元，占全年预算的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2.59</w:t>
      </w:r>
      <w:r>
        <w:rPr>
          <w:rFonts w:hint="eastAsia" w:ascii="仿宋_GB2312" w:hAnsi="仿宋" w:eastAsia="仿宋_GB2312"/>
          <w:sz w:val="32"/>
          <w:szCs w:val="32"/>
        </w:rPr>
        <w:t>%</w:t>
      </w:r>
    </w:p>
    <w:p>
      <w:pPr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6、城乡社区事务支出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120.92</w:t>
      </w:r>
      <w:r>
        <w:rPr>
          <w:rFonts w:hint="eastAsia" w:ascii="仿宋_GB2312" w:hAnsi="仿宋" w:eastAsia="仿宋_GB2312"/>
          <w:sz w:val="32"/>
          <w:szCs w:val="32"/>
        </w:rPr>
        <w:t>万元，占全年预算的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10.7</w:t>
      </w:r>
      <w:r>
        <w:rPr>
          <w:rFonts w:hint="eastAsia" w:ascii="仿宋_GB2312" w:hAnsi="仿宋" w:eastAsia="仿宋_GB2312"/>
          <w:sz w:val="32"/>
          <w:szCs w:val="32"/>
        </w:rPr>
        <w:t>%</w:t>
      </w:r>
    </w:p>
    <w:p>
      <w:pPr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7、农林水事务支出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402.68</w:t>
      </w:r>
      <w:r>
        <w:rPr>
          <w:rFonts w:hint="eastAsia" w:ascii="仿宋_GB2312" w:hAnsi="仿宋" w:eastAsia="仿宋_GB2312"/>
          <w:sz w:val="32"/>
          <w:szCs w:val="32"/>
        </w:rPr>
        <w:t>万元，占全年预算的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35.65</w:t>
      </w:r>
      <w:r>
        <w:rPr>
          <w:rFonts w:hint="eastAsia" w:ascii="仿宋_GB2312" w:hAnsi="仿宋" w:eastAsia="仿宋_GB2312"/>
          <w:sz w:val="32"/>
          <w:szCs w:val="32"/>
        </w:rPr>
        <w:t>%；</w:t>
      </w:r>
    </w:p>
    <w:p>
      <w:pPr>
        <w:pStyle w:val="5"/>
        <w:spacing w:before="0" w:beforeAutospacing="0" w:after="0" w:afterAutospacing="0" w:line="360" w:lineRule="auto"/>
        <w:ind w:firstLine="632" w:firstLineChars="200"/>
        <w:jc w:val="both"/>
        <w:rPr>
          <w:rFonts w:ascii="仿宋_GB2312" w:hAnsi="仿宋" w:eastAsia="仿宋_GB2312"/>
          <w:kern w:val="2"/>
        </w:rPr>
      </w:pPr>
      <w:r>
        <w:rPr>
          <w:rFonts w:hint="eastAsia" w:ascii="仿宋_GB2312" w:hAnsi="仿宋" w:eastAsia="仿宋_GB2312"/>
          <w:sz w:val="32"/>
          <w:szCs w:val="32"/>
        </w:rPr>
        <w:t>8、住房保障支出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30.85</w:t>
      </w:r>
      <w:r>
        <w:rPr>
          <w:rFonts w:hint="eastAsia" w:ascii="仿宋_GB2312" w:hAnsi="仿宋" w:eastAsia="仿宋_GB2312"/>
          <w:sz w:val="32"/>
          <w:szCs w:val="32"/>
        </w:rPr>
        <w:t>万元，占全年预算的2.7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" w:eastAsia="仿宋_GB2312"/>
          <w:sz w:val="32"/>
          <w:szCs w:val="32"/>
        </w:rPr>
        <w:t>%；</w:t>
      </w:r>
    </w:p>
    <w:p>
      <w:pPr>
        <w:spacing w:line="620" w:lineRule="exact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三、绩效自评工作情况</w:t>
      </w:r>
    </w:p>
    <w:p>
      <w:pPr>
        <w:spacing w:line="62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（一）绩效自评目的</w:t>
      </w:r>
    </w:p>
    <w:p>
      <w:pPr>
        <w:spacing w:line="62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保证政府日常开支的正常运转，以及单位人员日常报销不受影响，确保政府各项工作的顺利进行；同时保证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牛家桥乡</w:t>
      </w:r>
      <w:r>
        <w:rPr>
          <w:rFonts w:hint="eastAsia" w:ascii="仿宋" w:hAnsi="仿宋" w:eastAsia="仿宋" w:cs="仿宋"/>
          <w:sz w:val="32"/>
          <w:szCs w:val="32"/>
        </w:rPr>
        <w:t>各项目建设的有推进，带动全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乡</w:t>
      </w:r>
      <w:r>
        <w:rPr>
          <w:rFonts w:hint="eastAsia" w:ascii="仿宋" w:hAnsi="仿宋" w:eastAsia="仿宋" w:cs="仿宋"/>
          <w:sz w:val="32"/>
          <w:szCs w:val="32"/>
        </w:rPr>
        <w:t>经济平稳较快发展的重要工作来落实，按照“统筹规划、分级负责、因地制宜、确保质量”的原则，通过项目实施加大农村建设力度，使我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乡</w:t>
      </w:r>
      <w:r>
        <w:rPr>
          <w:rFonts w:hint="eastAsia" w:ascii="仿宋" w:hAnsi="仿宋" w:eastAsia="仿宋" w:cs="仿宋"/>
          <w:sz w:val="32"/>
          <w:szCs w:val="32"/>
        </w:rPr>
        <w:t>各项基础设施建设再上一个新的台阶。</w:t>
      </w:r>
    </w:p>
    <w:p>
      <w:pPr>
        <w:spacing w:line="62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（二）评价情况分析及综合评价结论                          </w:t>
      </w:r>
    </w:p>
    <w:p>
      <w:pPr>
        <w:spacing w:line="620" w:lineRule="exact"/>
        <w:ind w:firstLine="640" w:firstLineChars="200"/>
        <w:rPr>
          <w:rFonts w:ascii="仿宋" w:hAnsi="仿宋" w:eastAsia="仿宋" w:cs="仿宋"/>
          <w:color w:val="000000" w:themeColor="text1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绩效目标完成情况：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</w:rPr>
        <w:t>我们对202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</w:rPr>
        <w:t>年项目开展了绩效评价，预算金额</w:t>
      </w:r>
      <w:r>
        <w:rPr>
          <w:rFonts w:hint="eastAsia" w:ascii="仿宋_GB2312" w:hAnsi="仿宋" w:eastAsia="仿宋_GB2312" w:cstheme="minorBidi"/>
          <w:spacing w:val="-2"/>
          <w:kern w:val="2"/>
          <w:sz w:val="32"/>
          <w:szCs w:val="24"/>
          <w:lang w:val="en-US" w:eastAsia="zh-CN" w:bidi="ar-SA"/>
        </w:rPr>
        <w:t>1129.2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</w:rPr>
        <w:t>万元，全年实际支出金额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</w:rPr>
        <w:t>1129.2</w:t>
      </w:r>
      <w:bookmarkStart w:id="0" w:name="_GoBack"/>
      <w:bookmarkEnd w:id="0"/>
      <w:r>
        <w:rPr>
          <w:rFonts w:hint="eastAsia" w:ascii="仿宋" w:hAnsi="仿宋" w:eastAsia="仿宋" w:cs="仿宋"/>
          <w:color w:val="000000" w:themeColor="text1"/>
          <w:sz w:val="32"/>
          <w:szCs w:val="32"/>
        </w:rPr>
        <w:t>万元，预算执行率100％。</w:t>
      </w:r>
    </w:p>
    <w:p>
      <w:pPr>
        <w:spacing w:line="62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从评价情况来看，我单位支出绩效水平较高，整体完成了年初设定的绩效目标，保障了本单位各部门的正常运转，促进了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牛家桥乡</w:t>
      </w:r>
      <w:r>
        <w:rPr>
          <w:rFonts w:hint="eastAsia" w:ascii="仿宋" w:hAnsi="仿宋" w:eastAsia="仿宋" w:cs="仿宋"/>
          <w:sz w:val="32"/>
          <w:szCs w:val="32"/>
        </w:rPr>
        <w:t>整体经济的平稳发展，充分发挥了财政资金的经济效益和社会效益。</w:t>
      </w:r>
    </w:p>
    <w:p>
      <w:pPr>
        <w:spacing w:line="62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四、存在的问题及改进的方向</w:t>
      </w:r>
    </w:p>
    <w:p>
      <w:pPr>
        <w:spacing w:line="62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编制预算绩效目标量化指标的设定有待加强，绩效考核方案不够到位，自评结果应用不充分，总结经验反馈问题不够及时，绩效考核工作痕迹管理不完备，考核结果有效性有待加强和完善。部分项目当年没有支付资金，预算执行率不够高。在今后的工作中，我单位将严格按照有关法律法规及上级部门的要求，针对存在的问题，大力加强预算绩效监督管理力度，加快资金支付进度，重视绩效考核管理，认真做好绩效目标管理工作。</w:t>
      </w:r>
    </w:p>
    <w:p>
      <w:pPr>
        <w:spacing w:line="620" w:lineRule="exact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五、建议</w:t>
      </w:r>
    </w:p>
    <w:p>
      <w:pPr>
        <w:spacing w:line="62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1、认真学习预算绩效管理的政策知识，提高部门预算整体绩效管理水平，把绩效管理工作落实到每个环节、每个细节，努力提高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牛家桥乡</w:t>
      </w:r>
      <w:r>
        <w:rPr>
          <w:rFonts w:hint="eastAsia" w:ascii="仿宋" w:hAnsi="仿宋" w:eastAsia="仿宋" w:cs="仿宋"/>
          <w:sz w:val="32"/>
          <w:szCs w:val="32"/>
        </w:rPr>
        <w:t>部门预算的经济效益和社会效益。</w:t>
      </w:r>
    </w:p>
    <w:p>
      <w:pPr>
        <w:spacing w:line="62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2、加强、细化制度建设。建立更加完善、更符合工作实际的制度、机制，保障每一项工作落到岗到人。</w:t>
      </w:r>
    </w:p>
    <w:p>
      <w:pPr>
        <w:spacing w:line="62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3、分解、落实工作职责。切实加强履职履责，让职责不留空缺，使财政拨款经费合理、有效使用。</w:t>
      </w:r>
    </w:p>
    <w:p>
      <w:pPr>
        <w:rPr>
          <w:rFonts w:ascii="仿宋" w:hAnsi="仿宋" w:eastAsia="仿宋" w:cs="仿宋"/>
          <w:sz w:val="32"/>
          <w:szCs w:val="32"/>
        </w:rPr>
      </w:pPr>
    </w:p>
    <w:sectPr>
      <w:footerReference r:id="rId3" w:type="default"/>
      <w:footerReference r:id="rId4" w:type="even"/>
      <w:pgSz w:w="11906" w:h="16838"/>
      <w:pgMar w:top="1985" w:right="1418" w:bottom="1985" w:left="1418" w:header="851" w:footer="1701" w:gutter="0"/>
      <w:cols w:space="425" w:num="1"/>
      <w:docGrid w:type="lines" w:linePitch="313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framePr w:wrap="around" w:vAnchor="text" w:hAnchor="margin" w:xAlign="outside" w:y="1"/>
      <w:rPr>
        <w:rStyle w:val="14"/>
        <w:rFonts w:ascii="宋体" w:hAnsi="宋体" w:eastAsia="宋体"/>
        <w:sz w:val="28"/>
        <w:szCs w:val="28"/>
      </w:rPr>
    </w:pPr>
    <w:r>
      <w:rPr>
        <w:rStyle w:val="14"/>
        <w:rFonts w:hint="eastAsia" w:ascii="宋体" w:hAnsi="宋体" w:eastAsia="宋体"/>
        <w:sz w:val="28"/>
        <w:szCs w:val="28"/>
      </w:rPr>
      <w:t>-</w:t>
    </w:r>
    <w:r>
      <w:rPr>
        <w:rStyle w:val="14"/>
        <w:rFonts w:ascii="宋体" w:hAnsi="宋体" w:eastAsia="宋体"/>
        <w:sz w:val="28"/>
        <w:szCs w:val="28"/>
      </w:rPr>
      <w:fldChar w:fldCharType="begin"/>
    </w:r>
    <w:r>
      <w:rPr>
        <w:rStyle w:val="14"/>
        <w:rFonts w:ascii="宋体" w:hAnsi="宋体" w:eastAsia="宋体"/>
        <w:sz w:val="28"/>
        <w:szCs w:val="28"/>
      </w:rPr>
      <w:instrText xml:space="preserve">PAGE  </w:instrText>
    </w:r>
    <w:r>
      <w:rPr>
        <w:rStyle w:val="14"/>
        <w:rFonts w:ascii="宋体" w:hAnsi="宋体" w:eastAsia="宋体"/>
        <w:sz w:val="28"/>
        <w:szCs w:val="28"/>
      </w:rPr>
      <w:fldChar w:fldCharType="separate"/>
    </w:r>
    <w:r>
      <w:rPr>
        <w:rStyle w:val="14"/>
        <w:rFonts w:ascii="宋体" w:hAnsi="宋体" w:eastAsia="宋体"/>
        <w:sz w:val="28"/>
        <w:szCs w:val="28"/>
      </w:rPr>
      <w:t>1</w:t>
    </w:r>
    <w:r>
      <w:rPr>
        <w:rStyle w:val="14"/>
        <w:rFonts w:ascii="宋体" w:hAnsi="宋体" w:eastAsia="宋体"/>
        <w:sz w:val="28"/>
        <w:szCs w:val="28"/>
      </w:rPr>
      <w:fldChar w:fldCharType="end"/>
    </w:r>
    <w:r>
      <w:rPr>
        <w:rStyle w:val="14"/>
        <w:rFonts w:hint="eastAsia" w:ascii="宋体" w:hAnsi="宋体" w:eastAsia="宋体"/>
        <w:sz w:val="28"/>
        <w:szCs w:val="28"/>
      </w:rPr>
      <w:t>-</w:t>
    </w:r>
  </w:p>
  <w:p>
    <w:pPr>
      <w:pStyle w:val="8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framePr w:wrap="around" w:vAnchor="text" w:hAnchor="margin" w:xAlign="outside" w:y="1"/>
      <w:rPr>
        <w:rStyle w:val="14"/>
      </w:rPr>
    </w:pPr>
    <w:r>
      <w:rPr>
        <w:rStyle w:val="14"/>
      </w:rPr>
      <w:fldChar w:fldCharType="begin"/>
    </w:r>
    <w:r>
      <w:rPr>
        <w:rStyle w:val="14"/>
      </w:rPr>
      <w:instrText xml:space="preserve">PAGE  </w:instrText>
    </w:r>
    <w:r>
      <w:rPr>
        <w:rStyle w:val="14"/>
      </w:rPr>
      <w:fldChar w:fldCharType="end"/>
    </w:r>
  </w:p>
  <w:p>
    <w:pPr>
      <w:pStyle w:val="8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HorizontalSpacing w:val="105"/>
  <w:drawingGridVerticalSpacing w:val="313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042933"/>
    <w:rsid w:val="00002F2C"/>
    <w:rsid w:val="000070A8"/>
    <w:rsid w:val="00016CA4"/>
    <w:rsid w:val="000324AE"/>
    <w:rsid w:val="00042933"/>
    <w:rsid w:val="0008033E"/>
    <w:rsid w:val="0008759D"/>
    <w:rsid w:val="00094F2B"/>
    <w:rsid w:val="000B0A83"/>
    <w:rsid w:val="000B6322"/>
    <w:rsid w:val="000C2CC1"/>
    <w:rsid w:val="000E4A5A"/>
    <w:rsid w:val="00103547"/>
    <w:rsid w:val="00103C04"/>
    <w:rsid w:val="0017068B"/>
    <w:rsid w:val="00185A3C"/>
    <w:rsid w:val="00192D5A"/>
    <w:rsid w:val="001C59B3"/>
    <w:rsid w:val="001E0886"/>
    <w:rsid w:val="001F7E31"/>
    <w:rsid w:val="002071BC"/>
    <w:rsid w:val="00225AE6"/>
    <w:rsid w:val="00235F0F"/>
    <w:rsid w:val="00255783"/>
    <w:rsid w:val="00290BA1"/>
    <w:rsid w:val="002A6AEA"/>
    <w:rsid w:val="002F2268"/>
    <w:rsid w:val="00387028"/>
    <w:rsid w:val="003C36E3"/>
    <w:rsid w:val="003C50C2"/>
    <w:rsid w:val="0041099F"/>
    <w:rsid w:val="00436A1D"/>
    <w:rsid w:val="004379D7"/>
    <w:rsid w:val="004A68B1"/>
    <w:rsid w:val="004B64F3"/>
    <w:rsid w:val="004E3B64"/>
    <w:rsid w:val="005020C5"/>
    <w:rsid w:val="00567FE6"/>
    <w:rsid w:val="0058162A"/>
    <w:rsid w:val="005B3616"/>
    <w:rsid w:val="005C57BB"/>
    <w:rsid w:val="005E12FA"/>
    <w:rsid w:val="00683167"/>
    <w:rsid w:val="006A5056"/>
    <w:rsid w:val="006E64C9"/>
    <w:rsid w:val="007048FF"/>
    <w:rsid w:val="00712100"/>
    <w:rsid w:val="0071700D"/>
    <w:rsid w:val="00742652"/>
    <w:rsid w:val="00772600"/>
    <w:rsid w:val="007D5D41"/>
    <w:rsid w:val="007F01F9"/>
    <w:rsid w:val="008513A0"/>
    <w:rsid w:val="00856BA1"/>
    <w:rsid w:val="00867620"/>
    <w:rsid w:val="008709E0"/>
    <w:rsid w:val="008A6A10"/>
    <w:rsid w:val="008A6A31"/>
    <w:rsid w:val="008F5BB0"/>
    <w:rsid w:val="00904AF4"/>
    <w:rsid w:val="00905542"/>
    <w:rsid w:val="00917700"/>
    <w:rsid w:val="00956F74"/>
    <w:rsid w:val="009B0B5F"/>
    <w:rsid w:val="009C04DA"/>
    <w:rsid w:val="009C4C62"/>
    <w:rsid w:val="009E3627"/>
    <w:rsid w:val="009F53E7"/>
    <w:rsid w:val="00A11BF8"/>
    <w:rsid w:val="00A14A33"/>
    <w:rsid w:val="00A6449D"/>
    <w:rsid w:val="00A768DB"/>
    <w:rsid w:val="00AA09C8"/>
    <w:rsid w:val="00AD5F30"/>
    <w:rsid w:val="00B0681D"/>
    <w:rsid w:val="00B9023F"/>
    <w:rsid w:val="00BC1FDC"/>
    <w:rsid w:val="00BD0FD8"/>
    <w:rsid w:val="00C44804"/>
    <w:rsid w:val="00C6362A"/>
    <w:rsid w:val="00C81363"/>
    <w:rsid w:val="00CB27A5"/>
    <w:rsid w:val="00CD55ED"/>
    <w:rsid w:val="00CD63C0"/>
    <w:rsid w:val="00CE62A0"/>
    <w:rsid w:val="00D21F0C"/>
    <w:rsid w:val="00D366C1"/>
    <w:rsid w:val="00D877F7"/>
    <w:rsid w:val="00DB2D43"/>
    <w:rsid w:val="00E266F1"/>
    <w:rsid w:val="00EB16A8"/>
    <w:rsid w:val="00EB59BB"/>
    <w:rsid w:val="00EC7904"/>
    <w:rsid w:val="00F72E93"/>
    <w:rsid w:val="00F87A11"/>
    <w:rsid w:val="00FB7E01"/>
    <w:rsid w:val="00FE5F4C"/>
    <w:rsid w:val="00FF2C68"/>
    <w:rsid w:val="00FF39F6"/>
    <w:rsid w:val="05374814"/>
    <w:rsid w:val="0EFF7773"/>
    <w:rsid w:val="0F8F6BFC"/>
    <w:rsid w:val="12A7482B"/>
    <w:rsid w:val="1C9B7769"/>
    <w:rsid w:val="1DC40A0D"/>
    <w:rsid w:val="362E6F8D"/>
    <w:rsid w:val="3791647A"/>
    <w:rsid w:val="443103E7"/>
    <w:rsid w:val="455969D8"/>
    <w:rsid w:val="499F4DE3"/>
    <w:rsid w:val="4CB906EC"/>
    <w:rsid w:val="526A3656"/>
    <w:rsid w:val="552F71C9"/>
    <w:rsid w:val="57DE02EC"/>
    <w:rsid w:val="5D643D56"/>
    <w:rsid w:val="5DE055A8"/>
    <w:rsid w:val="6420755E"/>
    <w:rsid w:val="69BD0A47"/>
    <w:rsid w:val="6F422573"/>
    <w:rsid w:val="71A911C9"/>
    <w:rsid w:val="77A86A4F"/>
    <w:rsid w:val="7CCC213E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99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4">
    <w:name w:val="heading 1"/>
    <w:basedOn w:val="1"/>
    <w:next w:val="1"/>
    <w:link w:val="18"/>
    <w:qFormat/>
    <w:uiPriority w:val="9"/>
    <w:pPr>
      <w:spacing w:before="100" w:beforeAutospacing="1" w:after="100" w:afterAutospacing="1"/>
      <w:jc w:val="left"/>
      <w:outlineLvl w:val="0"/>
    </w:pPr>
    <w:rPr>
      <w:rFonts w:hint="eastAsia" w:ascii="宋体" w:hAnsi="宋体" w:eastAsia="宋体" w:cs="宋体"/>
      <w:b/>
      <w:kern w:val="44"/>
      <w:sz w:val="48"/>
      <w:szCs w:val="48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/>
    </w:pPr>
  </w:style>
  <w:style w:type="paragraph" w:styleId="3">
    <w:name w:val="Body Text Indent"/>
    <w:basedOn w:val="1"/>
    <w:qFormat/>
    <w:uiPriority w:val="0"/>
    <w:pPr>
      <w:spacing w:line="600" w:lineRule="exact"/>
      <w:ind w:firstLine="560" w:firstLineChars="200"/>
      <w:textAlignment w:val="center"/>
    </w:pPr>
    <w:rPr>
      <w:rFonts w:ascii="宋体" w:hAnsi="宋体"/>
      <w:color w:val="FF0000"/>
      <w:sz w:val="28"/>
      <w:szCs w:val="28"/>
    </w:rPr>
  </w:style>
  <w:style w:type="paragraph" w:styleId="5">
    <w:name w:val="Body Text"/>
    <w:basedOn w:val="1"/>
    <w:qFormat/>
    <w:uiPriority w:val="99"/>
    <w:pPr>
      <w:autoSpaceDE w:val="0"/>
      <w:autoSpaceDN w:val="0"/>
      <w:adjustRightInd w:val="0"/>
      <w:snapToGrid w:val="0"/>
      <w:spacing w:line="588" w:lineRule="atLeast"/>
    </w:pPr>
    <w:rPr>
      <w:rFonts w:ascii="宋体" w:hAnsi="宋体" w:eastAsia="仿宋_GB2312"/>
      <w:spacing w:val="-2"/>
      <w:sz w:val="32"/>
      <w:szCs w:val="24"/>
    </w:rPr>
  </w:style>
  <w:style w:type="paragraph" w:styleId="6">
    <w:name w:val="Plain Text"/>
    <w:basedOn w:val="1"/>
    <w:link w:val="17"/>
    <w:qFormat/>
    <w:uiPriority w:val="0"/>
    <w:rPr>
      <w:rFonts w:ascii="宋体" w:hAnsi="Courier New" w:eastAsia="宋体" w:cs="Courier New"/>
      <w:szCs w:val="21"/>
    </w:rPr>
  </w:style>
  <w:style w:type="paragraph" w:styleId="7">
    <w:name w:val="Balloon Text"/>
    <w:basedOn w:val="1"/>
    <w:link w:val="20"/>
    <w:semiHidden/>
    <w:unhideWhenUsed/>
    <w:qFormat/>
    <w:uiPriority w:val="99"/>
    <w:rPr>
      <w:sz w:val="18"/>
      <w:szCs w:val="18"/>
    </w:rPr>
  </w:style>
  <w:style w:type="paragraph" w:styleId="8">
    <w:name w:val="footer"/>
    <w:basedOn w:val="1"/>
    <w:link w:val="1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13">
    <w:name w:val="Strong"/>
    <w:basedOn w:val="12"/>
    <w:qFormat/>
    <w:uiPriority w:val="22"/>
    <w:rPr>
      <w:b/>
      <w:bCs/>
    </w:rPr>
  </w:style>
  <w:style w:type="character" w:styleId="14">
    <w:name w:val="page number"/>
    <w:basedOn w:val="12"/>
    <w:semiHidden/>
    <w:unhideWhenUsed/>
    <w:qFormat/>
    <w:uiPriority w:val="99"/>
  </w:style>
  <w:style w:type="character" w:customStyle="1" w:styleId="15">
    <w:name w:val="页眉 Char"/>
    <w:basedOn w:val="12"/>
    <w:link w:val="9"/>
    <w:qFormat/>
    <w:uiPriority w:val="99"/>
    <w:rPr>
      <w:sz w:val="18"/>
      <w:szCs w:val="18"/>
    </w:rPr>
  </w:style>
  <w:style w:type="character" w:customStyle="1" w:styleId="16">
    <w:name w:val="页脚 Char"/>
    <w:basedOn w:val="12"/>
    <w:link w:val="8"/>
    <w:qFormat/>
    <w:uiPriority w:val="99"/>
    <w:rPr>
      <w:sz w:val="18"/>
      <w:szCs w:val="18"/>
    </w:rPr>
  </w:style>
  <w:style w:type="character" w:customStyle="1" w:styleId="17">
    <w:name w:val="纯文本 Char"/>
    <w:basedOn w:val="12"/>
    <w:link w:val="6"/>
    <w:qFormat/>
    <w:uiPriority w:val="0"/>
    <w:rPr>
      <w:rFonts w:ascii="宋体" w:hAnsi="Courier New" w:eastAsia="宋体" w:cs="Courier New"/>
      <w:szCs w:val="21"/>
    </w:rPr>
  </w:style>
  <w:style w:type="character" w:customStyle="1" w:styleId="18">
    <w:name w:val="标题 1 Char"/>
    <w:basedOn w:val="12"/>
    <w:link w:val="4"/>
    <w:qFormat/>
    <w:uiPriority w:val="9"/>
    <w:rPr>
      <w:rFonts w:ascii="宋体" w:hAnsi="宋体" w:eastAsia="宋体" w:cs="宋体"/>
      <w:b/>
      <w:kern w:val="44"/>
      <w:sz w:val="48"/>
      <w:szCs w:val="48"/>
    </w:rPr>
  </w:style>
  <w:style w:type="character" w:customStyle="1" w:styleId="19">
    <w:name w:val="font31"/>
    <w:basedOn w:val="12"/>
    <w:qFormat/>
    <w:uiPriority w:val="0"/>
    <w:rPr>
      <w:rFonts w:hint="eastAsia" w:ascii="宋体" w:hAnsi="宋体" w:eastAsia="宋体" w:cs="宋体"/>
      <w:b/>
      <w:color w:val="000000"/>
      <w:sz w:val="36"/>
      <w:szCs w:val="36"/>
      <w:u w:val="none"/>
    </w:rPr>
  </w:style>
  <w:style w:type="character" w:customStyle="1" w:styleId="20">
    <w:name w:val="批注框文本 Char"/>
    <w:basedOn w:val="12"/>
    <w:link w:val="7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21">
    <w:name w:val="[Normal]"/>
    <w:qFormat/>
    <w:uiPriority w:val="0"/>
    <w:rPr>
      <w:rFonts w:ascii="宋体" w:hAnsi="宋体" w:eastAsia="宋体" w:cs="Times New Roman"/>
      <w:sz w:val="24"/>
      <w:szCs w:val="22"/>
      <w:lang w:val="en-US" w:eastAsia="en-US" w:bidi="ar-SA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footer1.xml" Type="http://schemas.openxmlformats.org/officeDocument/2006/relationships/footer"/><Relationship Id="rId4" Target="footer2.xml" Type="http://schemas.openxmlformats.org/officeDocument/2006/relationships/footer"/><Relationship Id="rId5" Target="theme/theme1.xml" Type="http://schemas.openxmlformats.org/officeDocument/2006/relationships/theme"/><Relationship Id="rId6" Target="../customXml/item1.xml" Type="http://schemas.openxmlformats.org/officeDocument/2006/relationships/customXml"/><Relationship Id="rId7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7</Pages>
  <Words>3001</Words>
  <Characters>3095</Characters>
  <Lines>6</Lines>
  <Paragraphs>16</Paragraphs>
  <TotalTime>1</TotalTime>
  <ScaleCrop>false</ScaleCrop>
  <LinksUpToDate>false</LinksUpToDate>
  <CharactersWithSpaces>3122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2016-02-22T07:07:00Z</dcterms:created>
  <dc:creator>Administrator</dc:creator>
  <cp:lastModifiedBy>哪里跑！！</cp:lastModifiedBy>
  <cp:lastPrinted>2021-03-24T07:28:00Z</cp:lastPrinted>
  <dcterms:modified xsi:type="dcterms:W3CDTF">2022-04-10T07:15:17Z</dcterms:modified>
  <cp:revision>77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6F8E36C22AA54058AF51545A257A3838</vt:lpwstr>
  </property>
</Properties>
</file>