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lang w:val="en-US" w:eastAsia="zh-CN"/>
        </w:rPr>
        <w:t>共青团隆尧县委</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spacing w:line="240" w:lineRule="exact"/>
              <w:jc w:val="left"/>
              <w:textAlignment w:val="center"/>
              <w:rPr>
                <w:rFonts w:ascii="仿宋" w:hAnsi="仿宋" w:eastAsia="仿宋" w:cs="仿宋"/>
                <w:kern w:val="0"/>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spacing w:line="240" w:lineRule="exact"/>
              <w:jc w:val="left"/>
              <w:textAlignment w:val="center"/>
              <w:rPr>
                <w:rFonts w:ascii="仿宋" w:hAnsi="仿宋" w:eastAsia="仿宋" w:cs="仿宋"/>
                <w:kern w:val="0"/>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 xml:space="preserve">1.每项任务已制定了明确、具体、可量化、可衡量的绩效指标；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2.每项任务绩效指标全部完成；</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3.每项任务实施效果情况优秀；</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4.每项任务建立了目标责任制，落实到具体部门和人员负责。</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widowControl/>
        <w:spacing w:line="480" w:lineRule="exact"/>
        <w:jc w:val="left"/>
        <w:rPr>
          <w:rFonts w:ascii="仿宋" w:hAnsi="仿宋" w:eastAsia="仿宋" w:cs="仿宋"/>
          <w:kern w:val="0"/>
          <w:sz w:val="32"/>
          <w:szCs w:val="32"/>
          <w:shd w:val="clear" w:color="auto" w:fill="FFFFFF"/>
        </w:rPr>
      </w:pPr>
    </w:p>
    <w:p>
      <w:pPr>
        <w:rPr>
          <w:rFonts w:ascii="黑体" w:hAnsi="黑体" w:eastAsia="黑体" w:cs="黑体"/>
          <w:b/>
          <w:bCs/>
          <w:sz w:val="30"/>
          <w:szCs w:val="30"/>
        </w:rPr>
      </w:pPr>
      <w:r>
        <w:rPr>
          <w:rFonts w:hint="eastAsia" w:ascii="黑体" w:hAnsi="黑体" w:eastAsia="黑体" w:cs="黑体"/>
          <w:b/>
          <w:bCs/>
          <w:sz w:val="30"/>
          <w:szCs w:val="30"/>
        </w:rPr>
        <w:t>(后附部门整体自评报告)</w:t>
      </w:r>
    </w:p>
    <w:p>
      <w:pPr>
        <w:rPr>
          <w:rFonts w:ascii="黑体" w:hAnsi="黑体" w:eastAsia="黑体" w:cs="黑体"/>
          <w:b/>
          <w:bCs/>
          <w:sz w:val="30"/>
          <w:szCs w:val="30"/>
        </w:rPr>
      </w:pPr>
    </w:p>
    <w:p>
      <w:pPr>
        <w:rPr>
          <w:rFonts w:ascii="黑体" w:hAnsi="黑体" w:eastAsia="黑体" w:cs="黑体"/>
          <w:b/>
          <w:bCs/>
          <w:sz w:val="30"/>
          <w:szCs w:val="30"/>
        </w:rPr>
      </w:pPr>
    </w:p>
    <w:p>
      <w:pPr>
        <w:rPr>
          <w:rFonts w:ascii="黑体" w:hAnsi="黑体" w:eastAsia="黑体" w:cs="黑体"/>
          <w:b/>
          <w:bCs/>
          <w:sz w:val="30"/>
          <w:szCs w:val="30"/>
        </w:rPr>
      </w:pPr>
    </w:p>
    <w:p>
      <w:pPr>
        <w:rPr>
          <w:rFonts w:ascii="黑体" w:hAnsi="黑体" w:eastAsia="黑体" w:cs="黑体"/>
          <w:b/>
          <w:bCs/>
          <w:sz w:val="30"/>
          <w:szCs w:val="30"/>
        </w:rPr>
      </w:pPr>
    </w:p>
    <w:p>
      <w:pPr>
        <w:rPr>
          <w:rFonts w:ascii="黑体" w:hAnsi="黑体" w:eastAsia="黑体" w:cs="黑体"/>
          <w:b/>
          <w:bCs/>
          <w:sz w:val="30"/>
          <w:szCs w:val="30"/>
        </w:rPr>
      </w:pPr>
    </w:p>
    <w:p>
      <w:pPr>
        <w:ind w:firstLine="780"/>
        <w:jc w:val="center"/>
        <w:rPr>
          <w:rFonts w:hint="eastAsia" w:cs="黑体" w:asciiTheme="minorEastAsia" w:hAnsiTheme="minorEastAsia"/>
          <w:b/>
          <w:bCs/>
          <w:sz w:val="44"/>
          <w:szCs w:val="44"/>
        </w:rPr>
      </w:pPr>
    </w:p>
    <w:p>
      <w:pPr>
        <w:ind w:firstLine="780"/>
        <w:jc w:val="center"/>
        <w:rPr>
          <w:rFonts w:hint="eastAsia" w:cs="黑体" w:asciiTheme="minorEastAsia" w:hAnsiTheme="minorEastAsia"/>
          <w:b/>
          <w:bCs/>
          <w:sz w:val="44"/>
          <w:szCs w:val="44"/>
        </w:rPr>
      </w:pPr>
    </w:p>
    <w:p>
      <w:pPr>
        <w:ind w:firstLine="780"/>
        <w:jc w:val="center"/>
        <w:rPr>
          <w:rFonts w:hint="eastAsia" w:cs="黑体" w:asciiTheme="minorEastAsia" w:hAnsiTheme="minorEastAsia"/>
          <w:b/>
          <w:bCs/>
          <w:sz w:val="44"/>
          <w:szCs w:val="44"/>
        </w:rPr>
      </w:pPr>
    </w:p>
    <w:p>
      <w:pPr>
        <w:ind w:firstLine="780"/>
        <w:jc w:val="center"/>
        <w:rPr>
          <w:rFonts w:hint="eastAsia" w:cs="黑体" w:asciiTheme="minorEastAsia" w:hAnsiTheme="minorEastAsia"/>
          <w:b/>
          <w:bCs/>
          <w:sz w:val="44"/>
          <w:szCs w:val="44"/>
        </w:rPr>
      </w:pPr>
    </w:p>
    <w:p>
      <w:pPr>
        <w:ind w:firstLine="780"/>
        <w:jc w:val="center"/>
        <w:rPr>
          <w:rFonts w:hint="eastAsia" w:cs="黑体" w:asciiTheme="minorEastAsia" w:hAnsiTheme="minorEastAsia"/>
          <w:b/>
          <w:bCs/>
          <w:sz w:val="44"/>
          <w:szCs w:val="44"/>
        </w:rPr>
      </w:pPr>
    </w:p>
    <w:p>
      <w:pPr>
        <w:ind w:firstLine="780"/>
        <w:jc w:val="center"/>
        <w:rPr>
          <w:rFonts w:hint="eastAsia" w:cs="黑体" w:asciiTheme="minorEastAsia" w:hAnsiTheme="minorEastAsia"/>
          <w:b/>
          <w:bCs/>
          <w:sz w:val="44"/>
          <w:szCs w:val="44"/>
        </w:rPr>
      </w:pPr>
    </w:p>
    <w:p>
      <w:pPr>
        <w:ind w:firstLine="780"/>
        <w:jc w:val="center"/>
        <w:rPr>
          <w:rFonts w:hint="eastAsia" w:cs="黑体" w:asciiTheme="minorEastAsia" w:hAnsiTheme="minorEastAsia"/>
          <w:b/>
          <w:bCs/>
          <w:sz w:val="44"/>
          <w:szCs w:val="44"/>
          <w:lang w:val="en-US" w:eastAsia="zh-CN"/>
        </w:rPr>
      </w:pPr>
      <w:r>
        <w:rPr>
          <w:rFonts w:hint="eastAsia" w:cs="黑体" w:asciiTheme="minorEastAsia" w:hAnsiTheme="minorEastAsia"/>
          <w:b/>
          <w:bCs/>
          <w:sz w:val="44"/>
          <w:szCs w:val="44"/>
          <w:lang w:val="en-US" w:eastAsia="zh-CN"/>
        </w:rPr>
        <w:t>共青团隆尧县委</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pPr>
        <w:widowControl/>
        <w:spacing w:line="580" w:lineRule="atLeast"/>
        <w:ind w:firstLine="640"/>
        <w:jc w:val="left"/>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widowControl/>
        <w:spacing w:line="580" w:lineRule="atLeast"/>
        <w:ind w:firstLine="640"/>
        <w:jc w:val="left"/>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参与本县的有关青少年事业的法律、法规的实施和有关地方性法规的制定及实施，协助县委、县政府处理、协调与青少年利益相关的事务；</w:t>
      </w:r>
    </w:p>
    <w:p>
      <w:pPr>
        <w:widowControl/>
        <w:spacing w:line="580" w:lineRule="atLeast"/>
        <w:ind w:firstLine="640"/>
        <w:jc w:val="left"/>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调查青少年思想动态和青年工作状况，研究青少年运动，青少年工作理论和思想教育问题，提出相应对策，开展各种活动；协助政府教育部门做好中、小学学生的教育管理工作，维护学校和社会安定团结；</w:t>
      </w:r>
    </w:p>
    <w:p>
      <w:pPr>
        <w:autoSpaceDE w:val="0"/>
        <w:autoSpaceDN w:val="0"/>
        <w:adjustRightInd w:val="0"/>
        <w:ind w:firstLine="707" w:firstLineChars="221"/>
        <w:jc w:val="left"/>
        <w:rPr>
          <w:rFonts w:hint="eastAsia" w:ascii="仿宋_GB2312" w:hAnsi="仿宋_GB2312" w:eastAsia="仿宋_GB2312"/>
          <w:kern w:val="0"/>
          <w:sz w:val="32"/>
          <w:szCs w:val="32"/>
        </w:rPr>
      </w:pPr>
      <w:r>
        <w:rPr>
          <w:rFonts w:hint="eastAsia" w:ascii="仿宋_GB2312" w:hAnsi="仿宋_GB2312" w:eastAsia="仿宋_GB2312"/>
          <w:kern w:val="0"/>
          <w:sz w:val="32"/>
          <w:szCs w:val="32"/>
        </w:rPr>
        <w:t>共青团隆尧县委部门机构设置情况：</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2525"/>
        <w:gridCol w:w="1596"/>
        <w:gridCol w:w="2052"/>
        <w:gridCol w:w="26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525" w:type="dxa"/>
          </w:tcPr>
          <w:p>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单位名称</w:t>
            </w:r>
          </w:p>
        </w:tc>
        <w:tc>
          <w:tcPr>
            <w:tcW w:w="1596" w:type="dxa"/>
          </w:tcPr>
          <w:p>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单位性质</w:t>
            </w:r>
          </w:p>
        </w:tc>
        <w:tc>
          <w:tcPr>
            <w:tcW w:w="2052" w:type="dxa"/>
          </w:tcPr>
          <w:p>
            <w:pPr>
              <w:autoSpaceDE w:val="0"/>
              <w:autoSpaceDN w:val="0"/>
              <w:adjustRightInd w:val="0"/>
              <w:jc w:val="center"/>
              <w:rPr>
                <w:rFonts w:hint="eastAsia"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单位规格</w:t>
            </w:r>
          </w:p>
        </w:tc>
        <w:tc>
          <w:tcPr>
            <w:tcW w:w="2616" w:type="dxa"/>
          </w:tcPr>
          <w:p>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525" w:type="dxa"/>
          </w:tcPr>
          <w:p>
            <w:pPr>
              <w:autoSpaceDE w:val="0"/>
              <w:autoSpaceDN w:val="0"/>
              <w:adjustRightInd w:val="0"/>
              <w:jc w:val="left"/>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共青团隆尧县委</w:t>
            </w:r>
          </w:p>
        </w:tc>
        <w:tc>
          <w:tcPr>
            <w:tcW w:w="1596" w:type="dxa"/>
          </w:tcPr>
          <w:p>
            <w:pPr>
              <w:autoSpaceDE w:val="0"/>
              <w:autoSpaceDN w:val="0"/>
              <w:adjustRightInd w:val="0"/>
              <w:jc w:val="left"/>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群团组织</w:t>
            </w:r>
          </w:p>
        </w:tc>
        <w:tc>
          <w:tcPr>
            <w:tcW w:w="2052" w:type="dxa"/>
          </w:tcPr>
          <w:p>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正科级</w:t>
            </w:r>
          </w:p>
        </w:tc>
        <w:tc>
          <w:tcPr>
            <w:tcW w:w="2616" w:type="dxa"/>
          </w:tcPr>
          <w:p>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财政拨款</w:t>
            </w:r>
          </w:p>
        </w:tc>
      </w:tr>
    </w:tbl>
    <w:p>
      <w:pPr>
        <w:adjustRightInd w:val="0"/>
        <w:rPr>
          <w:rFonts w:hint="eastAsia" w:ascii="仿宋" w:hAnsi="仿宋" w:eastAsia="仿宋" w:cs="仿宋"/>
          <w:sz w:val="32"/>
          <w:szCs w:val="32"/>
        </w:rPr>
      </w:pP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pPr>
        <w:numPr>
          <w:numId w:val="0"/>
        </w:numPr>
        <w:adjustRightInd w:val="0"/>
        <w:ind w:left="480" w:lef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2021年年底我单位编制数5个，实有在职人员2人。2021年底我单位固定资产净值为20351.17元。</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pPr>
        <w:numPr>
          <w:numId w:val="0"/>
        </w:numPr>
        <w:adjustRightInd w:val="0"/>
        <w:ind w:left="480" w:lef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2021年，共青团隆尧县委召开青年马克思主义者培训班一期，建设“青年中心”一个，完成年初项目所设目标。</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pPr>
        <w:numPr>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举办青年马克思主义者培训班一期，建设“青年中心”。</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预算资金安排及资金支出情况。</w:t>
      </w:r>
    </w:p>
    <w:p>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2021年全年预算金额为394931元，年底已全部支出</w:t>
      </w:r>
    </w:p>
    <w:p>
      <w:pPr>
        <w:pStyle w:val="18"/>
        <w:numPr>
          <w:numId w:val="0"/>
        </w:numPr>
        <w:ind w:left="709" w:leftChars="0"/>
        <w:rPr>
          <w:rFonts w:ascii="黑体" w:hAnsi="黑体" w:eastAsia="黑体" w:cs="仿宋"/>
          <w:sz w:val="32"/>
          <w:szCs w:val="32"/>
        </w:rPr>
      </w:pPr>
      <w:r>
        <w:rPr>
          <w:rFonts w:hint="eastAsia" w:ascii="黑体" w:hAnsi="黑体" w:eastAsia="黑体" w:cs="仿宋"/>
          <w:sz w:val="32"/>
          <w:szCs w:val="32"/>
          <w:lang w:val="en-US" w:eastAsia="zh-CN"/>
        </w:rPr>
        <w:t>二、</w:t>
      </w:r>
      <w:r>
        <w:rPr>
          <w:rFonts w:hint="eastAsia" w:ascii="黑体" w:hAnsi="黑体" w:eastAsia="黑体" w:cs="仿宋"/>
          <w:sz w:val="32"/>
          <w:szCs w:val="32"/>
        </w:rPr>
        <w:t>预算绩效管理开展及整体绩效实现情况。</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（一）部门开展预算绩效管理情况。</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lang w:val="en-US" w:eastAsia="zh-CN"/>
        </w:rPr>
        <w:t>按照年初预算目标开展各项工作，预计举办青年马克思主义者培训班一期，建设“青年中心”一个。</w:t>
      </w:r>
    </w:p>
    <w:p>
      <w:pPr>
        <w:numPr>
          <w:ilvl w:val="0"/>
          <w:numId w:val="2"/>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pPr>
        <w:numPr>
          <w:numId w:val="0"/>
        </w:numPr>
        <w:adjustRightInd w:val="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截止2021年底，举办青年马克思主义者培训班一期，建设“青年中心”一个。</w:t>
      </w:r>
    </w:p>
    <w:p>
      <w:pPr>
        <w:numPr>
          <w:ilvl w:val="0"/>
          <w:numId w:val="2"/>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pPr>
        <w:numPr>
          <w:numId w:val="0"/>
        </w:numPr>
        <w:adjustRightInd w:val="0"/>
        <w:ind w:leftChars="15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青年马克思主义者培训班结束后发放调查问卷，根据回收问卷统计，满意度达到100%。</w:t>
      </w:r>
    </w:p>
    <w:p>
      <w:pPr>
        <w:pStyle w:val="18"/>
        <w:numPr>
          <w:numId w:val="0"/>
        </w:numPr>
        <w:ind w:left="709" w:leftChars="0"/>
        <w:rPr>
          <w:rFonts w:ascii="黑体" w:hAnsi="黑体" w:eastAsia="黑体" w:cs="仿宋"/>
          <w:sz w:val="32"/>
          <w:szCs w:val="32"/>
        </w:rPr>
      </w:pPr>
      <w:r>
        <w:rPr>
          <w:rFonts w:hint="eastAsia" w:ascii="黑体" w:hAnsi="黑体" w:eastAsia="黑体" w:cs="仿宋"/>
          <w:sz w:val="32"/>
          <w:szCs w:val="32"/>
          <w:lang w:val="en-US" w:eastAsia="zh-CN"/>
        </w:rPr>
        <w:t>三、</w:t>
      </w:r>
      <w:r>
        <w:rPr>
          <w:rFonts w:hint="eastAsia" w:ascii="黑体" w:hAnsi="黑体" w:eastAsia="黑体" w:cs="仿宋"/>
          <w:sz w:val="32"/>
          <w:szCs w:val="32"/>
        </w:rPr>
        <w:t>绩效评价的组织实施情况</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（一）评价对象绩效目标。</w:t>
      </w:r>
    </w:p>
    <w:p>
      <w:pPr>
        <w:adjustRightInd w:val="0"/>
        <w:ind w:firstLine="480" w:firstLineChars="15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青马培训工程参训人员达100人，青年中心举办活动四场。</w:t>
      </w:r>
    </w:p>
    <w:p>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lang w:val="en-US" w:eastAsia="zh-CN"/>
        </w:rPr>
        <w:t>青马培训工程参训人员达100人，青年中心举办活动四场。</w:t>
      </w:r>
    </w:p>
    <w:p>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pPr>
        <w:numPr>
          <w:numId w:val="0"/>
        </w:numPr>
        <w:adjustRightInd w:val="0"/>
        <w:ind w:leftChars="15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按照产出指标、效果指标、满意度指标进行评价。</w:t>
      </w:r>
    </w:p>
    <w:p>
      <w:pPr>
        <w:pStyle w:val="18"/>
        <w:numPr>
          <w:numId w:val="0"/>
        </w:numPr>
        <w:ind w:left="709" w:leftChars="0"/>
        <w:rPr>
          <w:rFonts w:hint="eastAsia" w:ascii="黑体" w:hAnsi="黑体" w:eastAsia="黑体" w:cs="仿宋"/>
          <w:sz w:val="32"/>
          <w:szCs w:val="32"/>
        </w:rPr>
      </w:pPr>
      <w:r>
        <w:rPr>
          <w:rFonts w:hint="eastAsia" w:ascii="黑体" w:hAnsi="黑体" w:eastAsia="黑体" w:cs="仿宋"/>
          <w:sz w:val="32"/>
          <w:szCs w:val="32"/>
          <w:lang w:val="en-US" w:eastAsia="zh-CN"/>
        </w:rPr>
        <w:t>四、</w:t>
      </w:r>
      <w:r>
        <w:rPr>
          <w:rFonts w:hint="eastAsia" w:ascii="黑体" w:hAnsi="黑体" w:eastAsia="黑体" w:cs="仿宋"/>
          <w:sz w:val="32"/>
          <w:szCs w:val="32"/>
        </w:rPr>
        <w:t>各项绩效目标的实现程度及差异性原因分析。</w:t>
      </w:r>
    </w:p>
    <w:p>
      <w:pPr>
        <w:pStyle w:val="18"/>
        <w:numPr>
          <w:numId w:val="0"/>
        </w:numPr>
        <w:ind w:left="709" w:leftChars="0"/>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各项绩效目标均已完成。</w:t>
      </w:r>
    </w:p>
    <w:p>
      <w:pPr>
        <w:pStyle w:val="18"/>
        <w:numPr>
          <w:numId w:val="0"/>
        </w:numPr>
        <w:ind w:left="709" w:leftChars="0"/>
        <w:rPr>
          <w:rFonts w:ascii="黑体" w:hAnsi="黑体" w:eastAsia="黑体" w:cs="仿宋"/>
          <w:sz w:val="32"/>
          <w:szCs w:val="32"/>
        </w:rPr>
      </w:pPr>
      <w:bookmarkStart w:id="0" w:name="_GoBack"/>
      <w:bookmarkEnd w:id="0"/>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2"/>
        <w:rFonts w:ascii="宋体" w:hAnsi="宋体" w:eastAsia="宋体"/>
        <w:sz w:val="28"/>
        <w:szCs w:val="28"/>
      </w:rPr>
    </w:pPr>
    <w:r>
      <w:rPr>
        <w:rStyle w:val="12"/>
        <w:rFonts w:hint="eastAsia" w:ascii="宋体" w:hAnsi="宋体" w:eastAsia="宋体"/>
        <w:sz w:val="28"/>
        <w:szCs w:val="28"/>
      </w:rPr>
      <w:t>-</w:t>
    </w:r>
    <w:r>
      <w:rPr>
        <w:rStyle w:val="12"/>
        <w:rFonts w:ascii="宋体" w:hAnsi="宋体" w:eastAsia="宋体"/>
        <w:sz w:val="28"/>
        <w:szCs w:val="28"/>
      </w:rPr>
      <w:fldChar w:fldCharType="begin"/>
    </w:r>
    <w:r>
      <w:rPr>
        <w:rStyle w:val="12"/>
        <w:rFonts w:ascii="宋体" w:hAnsi="宋体" w:eastAsia="宋体"/>
        <w:sz w:val="28"/>
        <w:szCs w:val="28"/>
      </w:rPr>
      <w:instrText xml:space="preserve">PAGE  </w:instrText>
    </w:r>
    <w:r>
      <w:rPr>
        <w:rStyle w:val="12"/>
        <w:rFonts w:ascii="宋体" w:hAnsi="宋体" w:eastAsia="宋体"/>
        <w:sz w:val="28"/>
        <w:szCs w:val="28"/>
      </w:rPr>
      <w:fldChar w:fldCharType="separate"/>
    </w:r>
    <w:r>
      <w:rPr>
        <w:rStyle w:val="12"/>
        <w:rFonts w:ascii="宋体" w:hAnsi="宋体" w:eastAsia="宋体"/>
        <w:sz w:val="28"/>
        <w:szCs w:val="28"/>
      </w:rPr>
      <w:t>7</w:t>
    </w:r>
    <w:r>
      <w:rPr>
        <w:rStyle w:val="12"/>
        <w:rFonts w:ascii="宋体" w:hAnsi="宋体" w:eastAsia="宋体"/>
        <w:sz w:val="28"/>
        <w:szCs w:val="28"/>
      </w:rPr>
      <w:fldChar w:fldCharType="end"/>
    </w:r>
    <w:r>
      <w:rPr>
        <w:rStyle w:val="12"/>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C3F97D"/>
    <w:multiLevelType w:val="singleLevel"/>
    <w:tmpl w:val="B0C3F97D"/>
    <w:lvl w:ilvl="0" w:tentative="0">
      <w:start w:val="2"/>
      <w:numFmt w:val="chineseCounting"/>
      <w:suff w:val="nothing"/>
      <w:lvlText w:val="（%1）"/>
      <w:lvlJc w:val="left"/>
      <w:rPr>
        <w:rFonts w:hint="eastAsia"/>
      </w:rPr>
    </w:lvl>
  </w:abstractNum>
  <w:abstractNum w:abstractNumId="1">
    <w:nsid w:val="CD36E3E3"/>
    <w:multiLevelType w:val="singleLevel"/>
    <w:tmpl w:val="CD36E3E3"/>
    <w:lvl w:ilvl="0" w:tentative="0">
      <w:start w:val="2"/>
      <w:numFmt w:val="chineseCounting"/>
      <w:suff w:val="nothing"/>
      <w:lvlText w:val="（%1）"/>
      <w:lvlJc w:val="left"/>
      <w:pPr>
        <w:ind w:left="480" w:leftChars="0" w:firstLine="0" w:firstLineChars="0"/>
      </w:pPr>
      <w:rPr>
        <w:rFonts w:hint="eastAsia"/>
      </w:rPr>
    </w:lvl>
  </w:abstractNum>
  <w:abstractNum w:abstractNumId="2">
    <w:nsid w:val="1E567D20"/>
    <w:multiLevelType w:val="singleLevel"/>
    <w:tmpl w:val="1E567D20"/>
    <w:lvl w:ilvl="0" w:tentative="0">
      <w:start w:val="2"/>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BCE552D"/>
    <w:rsid w:val="0C8F0285"/>
    <w:rsid w:val="0E681BFE"/>
    <w:rsid w:val="0F8F6BFC"/>
    <w:rsid w:val="107166F3"/>
    <w:rsid w:val="19146754"/>
    <w:rsid w:val="1BD61018"/>
    <w:rsid w:val="1C841DE7"/>
    <w:rsid w:val="1DBE2801"/>
    <w:rsid w:val="3791647A"/>
    <w:rsid w:val="455969D8"/>
    <w:rsid w:val="469E666E"/>
    <w:rsid w:val="48725571"/>
    <w:rsid w:val="4BDB04ED"/>
    <w:rsid w:val="526A3656"/>
    <w:rsid w:val="53CD5365"/>
    <w:rsid w:val="5D643D56"/>
    <w:rsid w:val="64283056"/>
    <w:rsid w:val="66B90FF4"/>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5"/>
    <w:qFormat/>
    <w:uiPriority w:val="0"/>
    <w:rPr>
      <w:rFonts w:ascii="宋体" w:hAnsi="Courier New" w:eastAsia="宋体" w:cs="Courier New"/>
      <w:szCs w:val="21"/>
    </w:rPr>
  </w:style>
  <w:style w:type="paragraph" w:styleId="5">
    <w:name w:val="footer"/>
    <w:basedOn w:val="1"/>
    <w:link w:val="14"/>
    <w:unhideWhenUsed/>
    <w:qFormat/>
    <w:uiPriority w:val="99"/>
    <w:pPr>
      <w:tabs>
        <w:tab w:val="center" w:pos="4153"/>
        <w:tab w:val="right" w:pos="8306"/>
      </w:tabs>
      <w:snapToGrid w:val="0"/>
      <w:jc w:val="left"/>
    </w:pPr>
    <w:rPr>
      <w:sz w:val="18"/>
      <w:szCs w:val="18"/>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9">
    <w:name w:val="Table Grid"/>
    <w:basedOn w:val="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22"/>
    <w:rPr>
      <w:b/>
      <w:bCs/>
    </w:rPr>
  </w:style>
  <w:style w:type="character" w:styleId="12">
    <w:name w:val="page number"/>
    <w:basedOn w:val="10"/>
    <w:semiHidden/>
    <w:unhideWhenUsed/>
    <w:qFormat/>
    <w:uiPriority w:val="99"/>
  </w:style>
  <w:style w:type="character" w:customStyle="1" w:styleId="13">
    <w:name w:val="页眉 Char"/>
    <w:basedOn w:val="10"/>
    <w:link w:val="6"/>
    <w:qFormat/>
    <w:uiPriority w:val="99"/>
    <w:rPr>
      <w:sz w:val="18"/>
      <w:szCs w:val="18"/>
    </w:rPr>
  </w:style>
  <w:style w:type="character" w:customStyle="1" w:styleId="14">
    <w:name w:val="页脚 Char"/>
    <w:basedOn w:val="10"/>
    <w:link w:val="5"/>
    <w:qFormat/>
    <w:uiPriority w:val="99"/>
    <w:rPr>
      <w:sz w:val="18"/>
      <w:szCs w:val="18"/>
    </w:rPr>
  </w:style>
  <w:style w:type="character" w:customStyle="1" w:styleId="15">
    <w:name w:val="纯文本 Char"/>
    <w:basedOn w:val="10"/>
    <w:link w:val="4"/>
    <w:qFormat/>
    <w:uiPriority w:val="0"/>
    <w:rPr>
      <w:rFonts w:ascii="宋体" w:hAnsi="Courier New" w:eastAsia="宋体" w:cs="Courier New"/>
      <w:szCs w:val="21"/>
    </w:rPr>
  </w:style>
  <w:style w:type="character" w:customStyle="1" w:styleId="16">
    <w:name w:val="标题 1 Char"/>
    <w:basedOn w:val="10"/>
    <w:link w:val="2"/>
    <w:qFormat/>
    <w:uiPriority w:val="9"/>
    <w:rPr>
      <w:rFonts w:ascii="宋体" w:hAnsi="宋体" w:eastAsia="宋体" w:cs="宋体"/>
      <w:b/>
      <w:kern w:val="44"/>
      <w:sz w:val="48"/>
      <w:szCs w:val="48"/>
    </w:rPr>
  </w:style>
  <w:style w:type="character" w:customStyle="1" w:styleId="17">
    <w:name w:val="font31"/>
    <w:basedOn w:val="10"/>
    <w:qFormat/>
    <w:uiPriority w:val="0"/>
    <w:rPr>
      <w:rFonts w:hint="eastAsia" w:ascii="宋体" w:hAnsi="宋体" w:eastAsia="宋体" w:cs="宋体"/>
      <w:b/>
      <w:color w:val="000000"/>
      <w:sz w:val="36"/>
      <w:szCs w:val="36"/>
      <w:u w:val="none"/>
    </w:rPr>
  </w:style>
  <w:style w:type="paragraph" w:styleId="18">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857</Words>
  <Characters>4889</Characters>
  <Lines>40</Lines>
  <Paragraphs>11</Paragraphs>
  <TotalTime>1</TotalTime>
  <ScaleCrop>false</ScaleCrop>
  <LinksUpToDate>false</LinksUpToDate>
  <CharactersWithSpaces>5735</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扁豆</cp:lastModifiedBy>
  <cp:lastPrinted>2018-11-29T03:23:00Z</cp:lastPrinted>
  <dcterms:modified xsi:type="dcterms:W3CDTF">2022-03-15T05:56:36Z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D502F1C53A5F4396A5D07781C8C66412</vt:lpwstr>
  </property>
</Properties>
</file>