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hAnsi="华文中宋"/>
          <w:bCs/>
          <w:sz w:val="36"/>
          <w:szCs w:val="44"/>
        </w:rPr>
      </w:pPr>
    </w:p>
    <w:p>
      <w:pPr>
        <w:jc w:val="center"/>
        <w:rPr>
          <w:rFonts w:hint="eastAsia" w:ascii="Arial" w:hAnsi="Arial" w:eastAsia="宋体" w:cs="Arial"/>
          <w:b/>
          <w:sz w:val="36"/>
          <w:szCs w:val="44"/>
          <w:lang w:eastAsia="zh-CN"/>
        </w:rPr>
      </w:pPr>
      <w:r>
        <w:rPr>
          <w:rFonts w:hint="eastAsia" w:ascii="Arial" w:hAnsi="Arial" w:eastAsia="宋体" w:cs="Arial"/>
          <w:b/>
          <w:sz w:val="36"/>
          <w:szCs w:val="44"/>
        </w:rPr>
        <w:t>河北省</w:t>
      </w:r>
      <w:r>
        <w:rPr>
          <w:rFonts w:hint="eastAsia" w:ascii="Arial" w:hAnsi="Arial" w:eastAsia="宋体" w:cs="Arial"/>
          <w:b/>
          <w:sz w:val="36"/>
          <w:szCs w:val="44"/>
          <w:lang w:eastAsia="zh-CN"/>
        </w:rPr>
        <w:t>土地出让金</w:t>
      </w:r>
      <w:r>
        <w:rPr>
          <w:rFonts w:hint="eastAsia" w:ascii="Arial" w:hAnsi="Arial" w:eastAsia="宋体" w:cs="Arial"/>
          <w:b/>
          <w:sz w:val="36"/>
          <w:szCs w:val="44"/>
          <w:lang w:val="en-US" w:eastAsia="zh-CN"/>
        </w:rPr>
        <w:t>/</w:t>
      </w:r>
      <w:r>
        <w:rPr>
          <w:rFonts w:hint="eastAsia" w:ascii="Arial" w:hAnsi="Arial" w:eastAsia="宋体" w:cs="Arial"/>
          <w:b/>
          <w:sz w:val="36"/>
          <w:szCs w:val="44"/>
          <w:lang w:eastAsia="zh-CN"/>
        </w:rPr>
        <w:t>农村公墓奖补项目</w:t>
      </w:r>
    </w:p>
    <w:p>
      <w:pPr>
        <w:jc w:val="center"/>
        <w:rPr>
          <w:rFonts w:ascii="宋体" w:hAnsi="宋体" w:eastAsia="宋体" w:cs="宋体"/>
          <w:b/>
          <w:sz w:val="36"/>
          <w:szCs w:val="44"/>
        </w:rPr>
      </w:pPr>
      <w:r>
        <w:rPr>
          <w:rFonts w:hint="eastAsia" w:ascii="Arial" w:hAnsi="Arial" w:eastAsia="宋体" w:cs="Arial"/>
          <w:b/>
          <w:sz w:val="36"/>
          <w:szCs w:val="44"/>
        </w:rPr>
        <w:t>202</w:t>
      </w:r>
      <w:r>
        <w:rPr>
          <w:rFonts w:hint="eastAsia" w:ascii="Arial" w:hAnsi="Arial" w:eastAsia="宋体" w:cs="Arial"/>
          <w:b/>
          <w:sz w:val="36"/>
          <w:szCs w:val="4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36"/>
          <w:szCs w:val="44"/>
        </w:rPr>
        <w:t>年度绩效自评报告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一、绩效目标分解下达情况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本项目根据</w:t>
      </w:r>
      <w:r>
        <w:rPr>
          <w:rFonts w:hint="eastAsia" w:ascii="仿宋_GB2312"/>
          <w:szCs w:val="32"/>
          <w:lang w:val="en-US" w:eastAsia="zh-CN"/>
        </w:rPr>
        <w:t>县政府批复（隆政函【2020】91号）</w:t>
      </w:r>
      <w:r>
        <w:rPr>
          <w:rFonts w:hint="eastAsia" w:ascii="仿宋_GB2312"/>
          <w:szCs w:val="32"/>
        </w:rPr>
        <w:t>此项目列入202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年相应支出功能分类和支出经济分类科目，</w:t>
      </w:r>
      <w:r>
        <w:rPr>
          <w:rFonts w:hint="eastAsia" w:ascii="仿宋_GB2312"/>
          <w:szCs w:val="32"/>
          <w:lang w:eastAsia="zh-CN"/>
        </w:rPr>
        <w:t>施工</w:t>
      </w:r>
      <w:r>
        <w:rPr>
          <w:rFonts w:hint="eastAsia" w:ascii="仿宋_GB2312"/>
          <w:szCs w:val="32"/>
        </w:rPr>
        <w:t>单位为</w:t>
      </w:r>
      <w:r>
        <w:rPr>
          <w:rFonts w:hint="eastAsia" w:ascii="仿宋_GB2312"/>
          <w:szCs w:val="32"/>
          <w:lang w:eastAsia="zh-CN"/>
        </w:rPr>
        <w:t>邢台庄宇建筑工程</w:t>
      </w:r>
      <w:r>
        <w:rPr>
          <w:rFonts w:hint="eastAsia" w:ascii="仿宋_GB2312"/>
          <w:szCs w:val="32"/>
        </w:rPr>
        <w:t>有限公司，中标金额</w:t>
      </w:r>
      <w:r>
        <w:rPr>
          <w:rFonts w:hint="eastAsia" w:ascii="仿宋_GB2312"/>
          <w:szCs w:val="32"/>
          <w:lang w:val="en-US" w:eastAsia="zh-CN"/>
        </w:rPr>
        <w:t>60</w:t>
      </w:r>
      <w:r>
        <w:rPr>
          <w:rFonts w:hint="eastAsia" w:ascii="仿宋_GB2312"/>
          <w:szCs w:val="32"/>
        </w:rPr>
        <w:t>万元。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二、绩效目标完成情况分析</w:t>
      </w:r>
    </w:p>
    <w:p>
      <w:p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（一）资金投入情况分析。</w:t>
      </w:r>
      <w:r>
        <w:rPr>
          <w:rFonts w:hint="eastAsia" w:ascii="仿宋_GB2312"/>
          <w:szCs w:val="32"/>
        </w:rPr>
        <w:t>（分析资金执行和管理等情况。）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项目实施后根据建设进度分期分批据实报帐，工程款拨付必须有主要领导、分管领导、项目监理三方签字。建立项目档案，进一步提高老区建设资金的使用效益。按照项目施工合同要求，目前已拨付项目工程款</w:t>
      </w:r>
      <w:r>
        <w:rPr>
          <w:rFonts w:hint="eastAsia" w:ascii="仿宋_GB2312"/>
          <w:szCs w:val="32"/>
          <w:lang w:val="en-US" w:eastAsia="zh-CN"/>
        </w:rPr>
        <w:t>60</w:t>
      </w:r>
      <w:r>
        <w:rPr>
          <w:rFonts w:hint="eastAsia" w:ascii="仿宋_GB2312"/>
          <w:szCs w:val="32"/>
        </w:rPr>
        <w:t>万元。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在项目资金核算过程中，项目资金的使用严格按照《革命老区专项转移支付资金管理办法》执行，做到专款专用。严格按照项目资金管理制度，项目资金在相关资料完备后，由镇相关领导签字后，通过财政一体化管理系统将项目资金拨付到施工单位，确保了项目资金的运行安全。</w:t>
      </w:r>
    </w:p>
    <w:p>
      <w:pPr>
        <w:numPr>
          <w:ilvl w:val="0"/>
          <w:numId w:val="1"/>
        </w:num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总体绩效目标完成情况分析。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（1）项目完成情况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  <w:lang w:eastAsia="zh-CN"/>
        </w:rPr>
        <w:t>公墓占地面积</w:t>
      </w:r>
      <w:r>
        <w:rPr>
          <w:rFonts w:hint="eastAsia" w:ascii="仿宋_GB2312"/>
          <w:szCs w:val="32"/>
          <w:lang w:val="en-US" w:eastAsia="zh-CN"/>
        </w:rPr>
        <w:t>11.8亩，修建围栏（水泥）816米，砖泥围墙13米。双开木大门1个，石狮子1对，石凳8个，硬化6公分厚路面2394平方米，硬化10公分厚路面1102平方米，建设穴位100个，建设门岗室、档案室共2间，男女厕所各一个。已全部绿化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（2）完成及时性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项目计划实施时间是202</w:t>
      </w:r>
      <w:r>
        <w:rPr>
          <w:rFonts w:hint="eastAsia" w:ascii="仿宋_GB2312"/>
          <w:szCs w:val="32"/>
          <w:lang w:val="en-US" w:eastAsia="zh-CN"/>
        </w:rPr>
        <w:t>2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6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28</w:t>
      </w:r>
      <w:r>
        <w:rPr>
          <w:rFonts w:hint="eastAsia" w:ascii="仿宋_GB2312"/>
          <w:szCs w:val="32"/>
        </w:rPr>
        <w:t>日-202</w:t>
      </w:r>
      <w:r>
        <w:rPr>
          <w:rFonts w:hint="eastAsia" w:ascii="仿宋_GB2312"/>
          <w:szCs w:val="32"/>
          <w:lang w:val="en-US" w:eastAsia="zh-CN"/>
        </w:rPr>
        <w:t>0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7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29</w:t>
      </w:r>
      <w:r>
        <w:rPr>
          <w:rFonts w:hint="eastAsia" w:ascii="仿宋_GB2312"/>
          <w:szCs w:val="32"/>
        </w:rPr>
        <w:t>日，实际完工时间是202</w:t>
      </w:r>
      <w:r>
        <w:rPr>
          <w:rFonts w:hint="eastAsia" w:ascii="仿宋_GB2312"/>
          <w:szCs w:val="32"/>
          <w:lang w:val="en-US" w:eastAsia="zh-CN"/>
        </w:rPr>
        <w:t>0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7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29</w:t>
      </w:r>
      <w:r>
        <w:rPr>
          <w:rFonts w:hint="eastAsia" w:ascii="仿宋_GB2312"/>
          <w:szCs w:val="32"/>
        </w:rPr>
        <w:t>日，项目按计划时间完成。</w:t>
      </w:r>
    </w:p>
    <w:p>
      <w:pPr>
        <w:numPr>
          <w:ilvl w:val="0"/>
          <w:numId w:val="1"/>
        </w:numPr>
        <w:ind w:firstLine="602" w:firstLineChars="200"/>
        <w:outlineLvl w:val="0"/>
        <w:rPr>
          <w:rFonts w:ascii="楷体_GB2312" w:hAnsi="楷体_GB2312" w:eastAsia="楷体_GB2312" w:cs="楷体_GB2312"/>
          <w:b/>
          <w:bCs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绩效指标完成情况分析。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（一）</w:t>
      </w:r>
      <w:r>
        <w:rPr>
          <w:rFonts w:hint="eastAsia" w:ascii="仿宋_GB2312"/>
          <w:szCs w:val="32"/>
          <w:lang w:eastAsia="zh-CN"/>
        </w:rPr>
        <w:t>公墓占地面积</w:t>
      </w:r>
      <w:r>
        <w:rPr>
          <w:rFonts w:hint="eastAsia" w:ascii="仿宋_GB2312"/>
          <w:szCs w:val="32"/>
          <w:lang w:val="en-US" w:eastAsia="zh-CN"/>
        </w:rPr>
        <w:t>11.8亩，修建围栏（水泥）816米，砖泥围墙13米。双开木大门1个，石狮子1对，石凳8个，硬化6公分厚路面2394平方米，硬化10公分厚路面1102平方米，建设穴位100个，建设门岗室、档案室共2间，男女厕所各一个。已全部绿化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</w:t>
      </w:r>
      <w:r>
        <w:rPr>
          <w:rFonts w:hint="eastAsia" w:ascii="仿宋_GB2312"/>
          <w:b/>
          <w:szCs w:val="32"/>
          <w:lang w:eastAsia="zh-CN"/>
        </w:rPr>
        <w:t>二</w:t>
      </w:r>
      <w:r>
        <w:rPr>
          <w:rFonts w:hint="eastAsia" w:ascii="仿宋_GB2312"/>
          <w:b/>
          <w:szCs w:val="32"/>
        </w:rPr>
        <w:t>）隆尧县</w:t>
      </w:r>
      <w:r>
        <w:rPr>
          <w:rFonts w:hint="eastAsia" w:ascii="仿宋_GB2312"/>
          <w:b/>
          <w:szCs w:val="32"/>
          <w:lang w:eastAsia="zh-CN"/>
        </w:rPr>
        <w:t>土地出让金/农村公墓奖补项目</w:t>
      </w:r>
      <w:r>
        <w:rPr>
          <w:rFonts w:hint="eastAsia" w:ascii="仿宋_GB2312"/>
          <w:b/>
          <w:szCs w:val="32"/>
        </w:rPr>
        <w:t>的社会效益及经济效益</w:t>
      </w:r>
      <w:r>
        <w:rPr>
          <w:rFonts w:hint="eastAsia" w:ascii="仿宋_GB2312"/>
          <w:szCs w:val="32"/>
        </w:rPr>
        <w:t>近年来在隆尧县政府的大力支持下，</w:t>
      </w:r>
      <w:r>
        <w:rPr>
          <w:rFonts w:hint="eastAsia" w:ascii="仿宋_GB2312"/>
          <w:szCs w:val="32"/>
          <w:lang w:eastAsia="zh-CN"/>
        </w:rPr>
        <w:t>土地出让金/农村公墓奖补项目</w:t>
      </w:r>
      <w:r>
        <w:rPr>
          <w:rFonts w:hint="eastAsia" w:ascii="仿宋_GB2312"/>
          <w:szCs w:val="32"/>
        </w:rPr>
        <w:t>在一定程度上适应了新形势需求。</w:t>
      </w:r>
      <w:r>
        <w:rPr>
          <w:rFonts w:hint="eastAsia" w:ascii="仿宋_GB2312"/>
          <w:szCs w:val="32"/>
          <w:lang w:eastAsia="zh-CN"/>
        </w:rPr>
        <w:t>公墓</w:t>
      </w:r>
      <w:r>
        <w:rPr>
          <w:rFonts w:hint="eastAsia" w:ascii="仿宋_GB2312"/>
          <w:szCs w:val="32"/>
        </w:rPr>
        <w:t>完成投入使用后，使该区形成了良好的</w:t>
      </w:r>
      <w:r>
        <w:rPr>
          <w:rFonts w:hint="eastAsia" w:ascii="仿宋_GB2312"/>
          <w:szCs w:val="32"/>
          <w:lang w:eastAsia="zh-CN"/>
        </w:rPr>
        <w:t>公益环境</w:t>
      </w:r>
      <w:r>
        <w:rPr>
          <w:rFonts w:hint="eastAsia" w:ascii="仿宋_GB2312"/>
          <w:szCs w:val="32"/>
        </w:rPr>
        <w:t>，有效改善了该地区基础设施条件，改善了投资环境，提高了土地等级，促使隆尧县产业发展条件明显改善，项目建设具有深远的社会意义和间接经济效益。</w:t>
      </w:r>
    </w:p>
    <w:p>
      <w:pPr>
        <w:ind w:firstLine="602" w:firstLineChars="200"/>
        <w:rPr>
          <w:rFonts w:hint="eastAsia" w:ascii="仿宋_GB2312"/>
          <w:szCs w:val="32"/>
        </w:rPr>
      </w:pPr>
      <w:r>
        <w:rPr>
          <w:rFonts w:hint="eastAsia" w:ascii="仿宋_GB2312"/>
          <w:b/>
          <w:szCs w:val="32"/>
        </w:rPr>
        <w:t>（四）</w:t>
      </w:r>
      <w:r>
        <w:rPr>
          <w:rFonts w:hint="eastAsia" w:ascii="仿宋_GB2312"/>
          <w:b/>
          <w:szCs w:val="32"/>
          <w:lang w:eastAsia="zh-CN"/>
        </w:rPr>
        <w:t>公墓项目建设</w:t>
      </w:r>
      <w:r>
        <w:rPr>
          <w:rFonts w:hint="eastAsia" w:ascii="仿宋_GB2312"/>
          <w:b/>
          <w:szCs w:val="32"/>
        </w:rPr>
        <w:t>报价与市场价格的对比：</w:t>
      </w:r>
      <w:r>
        <w:rPr>
          <w:rFonts w:hint="eastAsia" w:ascii="仿宋_GB2312"/>
          <w:szCs w:val="32"/>
        </w:rPr>
        <w:t>该项目预算控制在招标确定的成本内，各项价格为市场控制价。</w:t>
      </w:r>
    </w:p>
    <w:p>
      <w:pPr>
        <w:ind w:firstLine="602" w:firstLineChars="200"/>
        <w:rPr>
          <w:rFonts w:hint="eastAsia"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（五）项目可持续性：</w:t>
      </w:r>
      <w:r>
        <w:rPr>
          <w:rFonts w:hint="eastAsia" w:ascii="仿宋_GB2312"/>
          <w:szCs w:val="32"/>
        </w:rPr>
        <w:t>随着隆尧县的加速发展，</w:t>
      </w:r>
      <w:r>
        <w:rPr>
          <w:rFonts w:hint="eastAsia" w:ascii="仿宋_GB2312"/>
          <w:szCs w:val="32"/>
          <w:lang w:eastAsia="zh-CN"/>
        </w:rPr>
        <w:t>公益性公墓</w:t>
      </w:r>
      <w:r>
        <w:rPr>
          <w:rFonts w:hint="eastAsia" w:ascii="仿宋_GB2312"/>
          <w:szCs w:val="32"/>
        </w:rPr>
        <w:t>规划及基础设施发展的需要，固城镇政府不断加大基础设施建设资金的投入；项目资金来源于财政预算，后期管理维护资金也可以满足项目持续运行的需要。</w:t>
      </w:r>
      <w:bookmarkStart w:id="0" w:name="_GoBack"/>
      <w:bookmarkEnd w:id="0"/>
    </w:p>
    <w:p>
      <w:pPr>
        <w:ind w:firstLine="602" w:firstLineChars="200"/>
        <w:rPr>
          <w:rFonts w:hint="eastAsia" w:ascii="仿宋_GB2312"/>
          <w:szCs w:val="32"/>
          <w:lang w:eastAsia="zh-CN"/>
        </w:rPr>
      </w:pPr>
      <w:r>
        <w:rPr>
          <w:rFonts w:hint="eastAsia" w:ascii="仿宋_GB2312"/>
          <w:b/>
          <w:szCs w:val="32"/>
        </w:rPr>
        <w:t>（六）</w:t>
      </w:r>
      <w:r>
        <w:rPr>
          <w:rFonts w:hint="eastAsia" w:ascii="仿宋_GB2312"/>
          <w:b/>
          <w:szCs w:val="32"/>
          <w:lang w:eastAsia="zh-CN"/>
        </w:rPr>
        <w:t>公益性公墓</w:t>
      </w:r>
      <w:r>
        <w:rPr>
          <w:rFonts w:hint="eastAsia" w:ascii="仿宋_GB2312"/>
          <w:b/>
          <w:szCs w:val="32"/>
        </w:rPr>
        <w:t>对当地自然生态环境带来的影响：</w:t>
      </w:r>
      <w:r>
        <w:rPr>
          <w:rFonts w:hint="eastAsia" w:ascii="仿宋_GB2312"/>
          <w:szCs w:val="32"/>
          <w:lang w:eastAsia="zh-CN"/>
        </w:rPr>
        <w:t>公益性公墓</w:t>
      </w:r>
      <w:r>
        <w:rPr>
          <w:rFonts w:hint="eastAsia" w:ascii="仿宋_GB2312"/>
          <w:szCs w:val="32"/>
        </w:rPr>
        <w:t>项目建设完成投入使用后，</w:t>
      </w:r>
      <w:r>
        <w:rPr>
          <w:rFonts w:hint="eastAsia" w:ascii="仿宋_GB2312"/>
          <w:szCs w:val="32"/>
          <w:lang w:eastAsia="zh-CN"/>
        </w:rPr>
        <w:t>得到了群众一致好评。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（七）社会公众满意度：</w:t>
      </w:r>
      <w:r>
        <w:rPr>
          <w:rFonts w:hint="eastAsia" w:ascii="仿宋_GB2312"/>
          <w:szCs w:val="32"/>
        </w:rPr>
        <w:t>通过隆尧县</w:t>
      </w:r>
      <w:r>
        <w:rPr>
          <w:rFonts w:hint="eastAsia" w:ascii="仿宋_GB2312"/>
          <w:szCs w:val="32"/>
          <w:lang w:eastAsia="zh-CN"/>
        </w:rPr>
        <w:t>土地出让金/农村公墓奖补项目</w:t>
      </w:r>
      <w:r>
        <w:rPr>
          <w:rFonts w:hint="eastAsia" w:ascii="仿宋_GB2312"/>
          <w:szCs w:val="32"/>
        </w:rPr>
        <w:t>周围商户及居民问卷显示，共发放30份问卷调查，非常满意26人，比较满意4人，群众满意度高。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三、偏离绩效目标的原因和下一步改进措施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偏离绩效目标的原因：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1、项目村在工程安排方面缺乏超前意识 与新农村建设的要求有一定差距。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2、在项目前期准备时，项目实施方案未按照要求合理、具体的量化，目标不够细化，不够明确。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下一步改进措施: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1、合理、严谨量化项目实施目标，落实好项目方案实施细则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2.严格履行工程项目基本建设程序，保障项目程序合法合规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3.加强管理制度的执行力度。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4.及时了解所需材料的市场价格，合理估算浮动区间，确保采购的合理合规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四、绩效自评结果拟应用和公开情况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作为</w:t>
      </w:r>
      <w:r>
        <w:rPr>
          <w:rFonts w:hint="eastAsia" w:ascii="仿宋_GB2312"/>
          <w:szCs w:val="32"/>
          <w:lang w:eastAsia="zh-CN"/>
        </w:rPr>
        <w:t>项目</w:t>
      </w:r>
      <w:r>
        <w:rPr>
          <w:rFonts w:hint="eastAsia" w:ascii="仿宋_GB2312"/>
          <w:szCs w:val="32"/>
        </w:rPr>
        <w:t>绩效自评工作的责任主体和实施主体，固城镇人民政府高度重视，认真组织，加强绩效自评结果的审核分析，按时间节点高质量完成相关工作，确保绩效自评结果内容完整、真实可靠。从审批局批示科研报告、初步设计概算批示、招标公告，候选人资格公示、中标公示，各项工作都进行了公开公示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五、其他需要说明的问题</w:t>
      </w:r>
    </w:p>
    <w:p>
      <w:pPr>
        <w:ind w:firstLine="600" w:firstLineChars="200"/>
      </w:pPr>
      <w:r>
        <w:rPr>
          <w:rFonts w:hint="eastAsia"/>
        </w:rPr>
        <w:t>附：项目绩效目标自评表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508548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B97341"/>
    <w:multiLevelType w:val="singleLevel"/>
    <w:tmpl w:val="06B9734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F82"/>
    <w:rsid w:val="000101E1"/>
    <w:rsid w:val="000732DA"/>
    <w:rsid w:val="00075CDC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A4E46"/>
    <w:rsid w:val="001E03FE"/>
    <w:rsid w:val="002123E8"/>
    <w:rsid w:val="00250053"/>
    <w:rsid w:val="002560DA"/>
    <w:rsid w:val="0029569C"/>
    <w:rsid w:val="002A5FA7"/>
    <w:rsid w:val="002B3EEF"/>
    <w:rsid w:val="002B54E4"/>
    <w:rsid w:val="002E5562"/>
    <w:rsid w:val="002F6705"/>
    <w:rsid w:val="00301FC0"/>
    <w:rsid w:val="00336A16"/>
    <w:rsid w:val="003663A3"/>
    <w:rsid w:val="00387DD5"/>
    <w:rsid w:val="003B0980"/>
    <w:rsid w:val="003C6374"/>
    <w:rsid w:val="003D2CB9"/>
    <w:rsid w:val="00413F12"/>
    <w:rsid w:val="00493012"/>
    <w:rsid w:val="004D2137"/>
    <w:rsid w:val="005D1514"/>
    <w:rsid w:val="005D7CC3"/>
    <w:rsid w:val="006218A1"/>
    <w:rsid w:val="00682A10"/>
    <w:rsid w:val="006A30E4"/>
    <w:rsid w:val="006A74BF"/>
    <w:rsid w:val="006C0C5A"/>
    <w:rsid w:val="006C1CEE"/>
    <w:rsid w:val="006D5A86"/>
    <w:rsid w:val="006D6309"/>
    <w:rsid w:val="00707C2E"/>
    <w:rsid w:val="00722A7D"/>
    <w:rsid w:val="00724A6B"/>
    <w:rsid w:val="0073331B"/>
    <w:rsid w:val="00733C2D"/>
    <w:rsid w:val="00756C7F"/>
    <w:rsid w:val="007D7E6E"/>
    <w:rsid w:val="00850797"/>
    <w:rsid w:val="00853FC4"/>
    <w:rsid w:val="008720F1"/>
    <w:rsid w:val="00882EFA"/>
    <w:rsid w:val="008B2F56"/>
    <w:rsid w:val="008F0996"/>
    <w:rsid w:val="00903791"/>
    <w:rsid w:val="009600BD"/>
    <w:rsid w:val="00961C83"/>
    <w:rsid w:val="009922BC"/>
    <w:rsid w:val="009E0D8C"/>
    <w:rsid w:val="00A02AF3"/>
    <w:rsid w:val="00A25077"/>
    <w:rsid w:val="00A610CC"/>
    <w:rsid w:val="00A8737E"/>
    <w:rsid w:val="00AA19AF"/>
    <w:rsid w:val="00BC6882"/>
    <w:rsid w:val="00BD3FE0"/>
    <w:rsid w:val="00BE58CF"/>
    <w:rsid w:val="00C10944"/>
    <w:rsid w:val="00CA5578"/>
    <w:rsid w:val="00CA7DAA"/>
    <w:rsid w:val="00D04826"/>
    <w:rsid w:val="00D63908"/>
    <w:rsid w:val="00D8718A"/>
    <w:rsid w:val="00D93453"/>
    <w:rsid w:val="00DB5248"/>
    <w:rsid w:val="00DC524D"/>
    <w:rsid w:val="00E071D6"/>
    <w:rsid w:val="00EA1995"/>
    <w:rsid w:val="00ED3E0F"/>
    <w:rsid w:val="00F015E4"/>
    <w:rsid w:val="00F57F82"/>
    <w:rsid w:val="00F75224"/>
    <w:rsid w:val="00F91EAE"/>
    <w:rsid w:val="00FA086C"/>
    <w:rsid w:val="00FA2093"/>
    <w:rsid w:val="00FA357A"/>
    <w:rsid w:val="00FD082C"/>
    <w:rsid w:val="037D0BC8"/>
    <w:rsid w:val="0845082D"/>
    <w:rsid w:val="09E965F2"/>
    <w:rsid w:val="139840D3"/>
    <w:rsid w:val="143E091F"/>
    <w:rsid w:val="14865FC8"/>
    <w:rsid w:val="150C2DB0"/>
    <w:rsid w:val="19053F4E"/>
    <w:rsid w:val="1D786BCC"/>
    <w:rsid w:val="1E761F05"/>
    <w:rsid w:val="1FC7205C"/>
    <w:rsid w:val="228B3D05"/>
    <w:rsid w:val="2610778C"/>
    <w:rsid w:val="284E74F8"/>
    <w:rsid w:val="2ADB48E8"/>
    <w:rsid w:val="32D3397A"/>
    <w:rsid w:val="36646ECB"/>
    <w:rsid w:val="36687282"/>
    <w:rsid w:val="36F716FE"/>
    <w:rsid w:val="38EF7AD8"/>
    <w:rsid w:val="3E1672E6"/>
    <w:rsid w:val="415F08D8"/>
    <w:rsid w:val="44E2230F"/>
    <w:rsid w:val="45832815"/>
    <w:rsid w:val="45B61BC5"/>
    <w:rsid w:val="48B51347"/>
    <w:rsid w:val="491B45FA"/>
    <w:rsid w:val="4A55216A"/>
    <w:rsid w:val="4F4D66D3"/>
    <w:rsid w:val="4FE0696A"/>
    <w:rsid w:val="55673508"/>
    <w:rsid w:val="59595A6F"/>
    <w:rsid w:val="599330CA"/>
    <w:rsid w:val="5FF91B3B"/>
    <w:rsid w:val="60D5009F"/>
    <w:rsid w:val="615F5122"/>
    <w:rsid w:val="64AC2E11"/>
    <w:rsid w:val="660721C9"/>
    <w:rsid w:val="661E6C75"/>
    <w:rsid w:val="67F75FF5"/>
    <w:rsid w:val="681D4831"/>
    <w:rsid w:val="692E4B19"/>
    <w:rsid w:val="69513EF7"/>
    <w:rsid w:val="6BF3256F"/>
    <w:rsid w:val="6CE7018A"/>
    <w:rsid w:val="6E3E3F2D"/>
    <w:rsid w:val="709C0589"/>
    <w:rsid w:val="715B2F02"/>
    <w:rsid w:val="74BF7159"/>
    <w:rsid w:val="752038B9"/>
    <w:rsid w:val="76A548F2"/>
    <w:rsid w:val="7765772E"/>
    <w:rsid w:val="77867685"/>
    <w:rsid w:val="781F36B6"/>
    <w:rsid w:val="790627AD"/>
    <w:rsid w:val="7ADC59FA"/>
    <w:rsid w:val="7DDD794F"/>
    <w:rsid w:val="7FAA6D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../customXml/item2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941A038-2223-4847-9A2F-586A1229E3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1743</Words>
  <Characters>134</Characters>
  <Lines>1</Lines>
  <Paragraphs>3</Paragraphs>
  <TotalTime>5</TotalTime>
  <ScaleCrop>false</ScaleCrop>
  <LinksUpToDate>false</LinksUpToDate>
  <CharactersWithSpaces>1874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2019-02-12T06:26:00Z</dcterms:created>
  <dc:creator>lhn</dc:creator>
  <cp:lastModifiedBy>Administrator</cp:lastModifiedBy>
  <cp:lastPrinted>2020-02-28T05:55:00Z</cp:lastPrinted>
  <dcterms:modified xsi:type="dcterms:W3CDTF">2022-03-23T07:14:26Z</dcterms:modified>
  <cp:revision>32</cp:revision>
  <dc:title>财政支出绩效评价报告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8B7D7A980F734FEE90467CC01FB64E77</vt:lpwstr>
  </property>
</Properties>
</file>