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napToGrid w:val="0"/>
        <w:spacing w:line="700" w:lineRule="exact"/>
        <w:jc w:val="center"/>
        <w:rPr>
          <w:rFonts w:hint="default" w:ascii="方正小标宋简体" w:eastAsia="方正小标宋简体"/>
          <w:bCs/>
          <w:sz w:val="44"/>
          <w:lang w:val="en"/>
        </w:rPr>
      </w:pPr>
      <w:r>
        <w:rPr>
          <w:rFonts w:hint="eastAsia" w:ascii="方正小标宋简体" w:eastAsia="方正小标宋简体"/>
          <w:bCs/>
          <w:sz w:val="44"/>
          <w:lang w:val="en-US" w:eastAsia="zh-CN"/>
        </w:rPr>
        <w:t>隆尧县</w:t>
      </w:r>
      <w:r>
        <w:rPr>
          <w:rFonts w:hint="default" w:ascii="方正小标宋简体" w:eastAsia="方正小标宋简体"/>
          <w:bCs/>
          <w:sz w:val="44"/>
          <w:lang w:val="en"/>
        </w:rPr>
        <w:t>气象局关于做好2022年度</w:t>
      </w:r>
    </w:p>
    <w:p>
      <w:pPr>
        <w:snapToGrid w:val="0"/>
        <w:spacing w:line="700" w:lineRule="exact"/>
        <w:jc w:val="center"/>
        <w:rPr>
          <w:rFonts w:hint="default" w:ascii="方正小标宋简体" w:eastAsia="方正小标宋简体"/>
          <w:bCs/>
          <w:sz w:val="44"/>
          <w:lang w:val="en"/>
        </w:rPr>
      </w:pPr>
      <w:r>
        <w:rPr>
          <w:rFonts w:hint="default" w:ascii="方正小标宋简体" w:eastAsia="方正小标宋简体"/>
          <w:bCs/>
          <w:sz w:val="44"/>
          <w:lang w:val="en"/>
        </w:rPr>
        <w:t>雷电防护装置安全性能检测工作的通告</w:t>
      </w:r>
    </w:p>
    <w:p>
      <w:pPr>
        <w:spacing w:line="580" w:lineRule="exact"/>
        <w:rPr>
          <w:rFonts w:hint="default" w:ascii="仿宋_GB2312" w:hAnsi="宋体"/>
          <w:szCs w:val="32"/>
          <w:lang w:val="en"/>
        </w:rPr>
      </w:pPr>
      <w:bookmarkStart w:id="0" w:name="主送"/>
      <w:bookmarkEnd w:id="0"/>
    </w:p>
    <w:p>
      <w:pPr>
        <w:spacing w:line="580" w:lineRule="exact"/>
        <w:rPr>
          <w:rFonts w:hint="eastAsia" w:ascii="宋体" w:hAnsi="宋体" w:eastAsia="宋体"/>
          <w:szCs w:val="32"/>
        </w:rPr>
      </w:pPr>
      <w:r>
        <w:rPr>
          <w:rFonts w:hint="default" w:ascii="仿宋_GB2312" w:hAnsi="宋体"/>
          <w:szCs w:val="32"/>
          <w:lang w:val="en"/>
        </w:rPr>
        <w:t>各有关单位</w:t>
      </w:r>
      <w:r>
        <w:rPr>
          <w:rFonts w:hint="eastAsia" w:ascii="仿宋_GB2312" w:hAnsi="宋体"/>
          <w:szCs w:val="32"/>
        </w:rPr>
        <w:t>：</w:t>
      </w:r>
    </w:p>
    <w:p>
      <w:pPr>
        <w:widowControl/>
        <w:shd w:val="clear" w:color="auto" w:fill="FFFFFF"/>
        <w:spacing w:before="0" w:beforeAutospacing="0" w:after="0" w:afterAutospacing="0" w:line="560" w:lineRule="exact"/>
        <w:ind w:firstLine="640" w:firstLineChars="200"/>
        <w:jc w:val="left"/>
        <w:rPr>
          <w:rFonts w:hint="eastAsia" w:ascii="仿宋_GB2312" w:hAnsi="仿宋_GB2312" w:eastAsia="CESI黑体-GB13000" w:cs="仿宋_GB2312"/>
          <w:color w:val="000000"/>
          <w:kern w:val="0"/>
          <w:sz w:val="32"/>
          <w:szCs w:val="32"/>
        </w:rPr>
      </w:pPr>
      <w:bookmarkStart w:id="1" w:name="正文"/>
      <w:bookmarkEnd w:id="1"/>
      <w:r>
        <w:rPr>
          <w:rFonts w:hint="eastAsia" w:ascii="仿宋_GB2312" w:hAnsi="仿宋_GB2312" w:eastAsia="仿宋_GB2312" w:cs="仿宋_GB2312"/>
          <w:color w:val="000000"/>
          <w:kern w:val="0"/>
          <w:sz w:val="32"/>
          <w:szCs w:val="32"/>
        </w:rPr>
        <w:t>当前,我</w:t>
      </w:r>
      <w:r>
        <w:rPr>
          <w:rFonts w:hint="eastAsia" w:ascii="仿宋_GB2312" w:hAnsi="仿宋_GB2312" w:cs="仿宋_GB2312"/>
          <w:color w:val="000000"/>
          <w:kern w:val="0"/>
          <w:sz w:val="32"/>
          <w:szCs w:val="32"/>
          <w:lang w:val="en-US" w:eastAsia="zh-CN"/>
        </w:rPr>
        <w:t>县</w:t>
      </w:r>
      <w:r>
        <w:rPr>
          <w:rFonts w:hint="eastAsia" w:ascii="仿宋_GB2312" w:hAnsi="仿宋_GB2312" w:eastAsia="仿宋_GB2312" w:cs="仿宋_GB2312"/>
          <w:color w:val="000000"/>
          <w:kern w:val="0"/>
          <w:sz w:val="32"/>
          <w:szCs w:val="32"/>
          <w:lang w:eastAsia="zh-CN"/>
        </w:rPr>
        <w:t>即将</w:t>
      </w:r>
      <w:r>
        <w:rPr>
          <w:rFonts w:hint="eastAsia" w:ascii="仿宋_GB2312" w:hAnsi="仿宋_GB2312" w:eastAsia="仿宋_GB2312" w:cs="仿宋_GB2312"/>
          <w:color w:val="000000"/>
          <w:kern w:val="0"/>
          <w:sz w:val="32"/>
          <w:szCs w:val="32"/>
        </w:rPr>
        <w:t>进入雷电多发季节，为提高我</w:t>
      </w:r>
      <w:r>
        <w:rPr>
          <w:rFonts w:hint="eastAsia" w:ascii="仿宋_GB2312" w:hAnsi="仿宋_GB2312" w:cs="仿宋_GB2312"/>
          <w:color w:val="000000"/>
          <w:kern w:val="0"/>
          <w:sz w:val="32"/>
          <w:szCs w:val="32"/>
          <w:lang w:val="en-US" w:eastAsia="zh-CN"/>
        </w:rPr>
        <w:t>县</w:t>
      </w:r>
      <w:r>
        <w:rPr>
          <w:rFonts w:hint="eastAsia" w:ascii="仿宋_GB2312" w:hAnsi="仿宋_GB2312" w:eastAsia="仿宋_GB2312" w:cs="仿宋_GB2312"/>
          <w:color w:val="000000"/>
          <w:kern w:val="0"/>
          <w:sz w:val="32"/>
          <w:szCs w:val="32"/>
        </w:rPr>
        <w:t>雷电灾害防御能力，</w:t>
      </w:r>
      <w:r>
        <w:rPr>
          <w:rFonts w:hint="eastAsia" w:ascii="仿宋_GB2312" w:hAnsi="仿宋_GB2312" w:eastAsia="仿宋_GB2312" w:cs="仿宋_GB2312"/>
          <w:color w:val="000000"/>
          <w:kern w:val="0"/>
          <w:sz w:val="32"/>
          <w:szCs w:val="32"/>
          <w:lang w:eastAsia="zh-CN"/>
        </w:rPr>
        <w:t>预防</w:t>
      </w:r>
      <w:r>
        <w:rPr>
          <w:rFonts w:hint="eastAsia" w:ascii="仿宋_GB2312" w:hAnsi="仿宋_GB2312" w:eastAsia="仿宋_GB2312" w:cs="仿宋_GB2312"/>
          <w:color w:val="000000"/>
          <w:kern w:val="0"/>
          <w:sz w:val="32"/>
          <w:szCs w:val="32"/>
        </w:rPr>
        <w:t>和减少雷击事件发生，保障人民群众生命财产安全，根据《中华人民共和国气象法》《气象灾害防御条例》《河北省防雷减灾管理办法》等有关法律法规规章要求，现将2022年度雷电防护装置安全性能定期检测相关事项</w:t>
      </w:r>
      <w:r>
        <w:rPr>
          <w:rFonts w:hint="eastAsia" w:ascii="仿宋_GB2312" w:hAnsi="仿宋_GB2312" w:eastAsia="仿宋_GB2312" w:cs="仿宋_GB2312"/>
          <w:color w:val="000000"/>
          <w:kern w:val="0"/>
          <w:sz w:val="32"/>
          <w:szCs w:val="32"/>
          <w:lang w:eastAsia="zh-CN"/>
        </w:rPr>
        <w:t>通告</w:t>
      </w:r>
      <w:r>
        <w:rPr>
          <w:rFonts w:hint="eastAsia" w:ascii="仿宋_GB2312" w:hAnsi="仿宋_GB2312" w:eastAsia="仿宋_GB2312" w:cs="仿宋_GB2312"/>
          <w:color w:val="000000"/>
          <w:kern w:val="0"/>
          <w:sz w:val="32"/>
          <w:szCs w:val="32"/>
        </w:rPr>
        <w:t>如下：</w:t>
      </w:r>
    </w:p>
    <w:p>
      <w:pPr>
        <w:widowControl/>
        <w:shd w:val="clear" w:color="auto" w:fill="FFFFFF"/>
        <w:spacing w:line="560" w:lineRule="exact"/>
        <w:ind w:firstLine="640" w:firstLineChars="200"/>
        <w:jc w:val="left"/>
        <w:rPr>
          <w:rFonts w:hint="eastAsia" w:ascii="仿宋_GB2312" w:hAnsi="仿宋_GB2312" w:eastAsia="仿宋_GB2312" w:cs="仿宋_GB2312"/>
          <w:color w:val="000000"/>
          <w:kern w:val="0"/>
          <w:sz w:val="32"/>
          <w:szCs w:val="32"/>
        </w:rPr>
      </w:pPr>
      <w:r>
        <w:rPr>
          <w:rFonts w:hint="eastAsia" w:ascii="仿宋_GB2312" w:hAnsi="仿宋_GB2312" w:eastAsia="CESI黑体-GB13000" w:cs="仿宋_GB2312"/>
          <w:color w:val="000000"/>
          <w:kern w:val="0"/>
          <w:sz w:val="32"/>
          <w:szCs w:val="32"/>
        </w:rPr>
        <w:t>一、雷电防护装置安全性能定期检测范围</w:t>
      </w:r>
    </w:p>
    <w:p>
      <w:pPr>
        <w:widowControl/>
        <w:shd w:val="clear" w:color="auto" w:fill="FFFFFF"/>
        <w:spacing w:line="560" w:lineRule="exact"/>
        <w:ind w:firstLine="640" w:firstLineChars="200"/>
        <w:jc w:val="left"/>
        <w:rPr>
          <w:rFonts w:hint="eastAsia" w:ascii="仿宋_GB2312" w:hAnsi="仿宋_GB2312" w:eastAsia="仿宋_GB2312" w:cs="仿宋_GB2312"/>
          <w:color w:val="000000"/>
          <w:kern w:val="0"/>
          <w:sz w:val="32"/>
          <w:szCs w:val="32"/>
        </w:rPr>
      </w:pPr>
      <w:r>
        <w:rPr>
          <w:rFonts w:hint="eastAsia" w:ascii="仿宋_GB2312" w:hAnsi="仿宋_GB2312" w:eastAsia="仿宋_GB2312" w:cs="仿宋_GB2312"/>
          <w:color w:val="000000"/>
          <w:kern w:val="0"/>
          <w:sz w:val="32"/>
          <w:szCs w:val="32"/>
        </w:rPr>
        <w:t>下列建（构）筑物、场所或者设施必须安装防雷装置：</w:t>
      </w:r>
    </w:p>
    <w:p>
      <w:pPr>
        <w:widowControl/>
        <w:shd w:val="clear" w:color="auto" w:fill="FFFFFF"/>
        <w:spacing w:line="560" w:lineRule="exact"/>
        <w:ind w:firstLine="640" w:firstLineChars="200"/>
        <w:jc w:val="left"/>
        <w:rPr>
          <w:rFonts w:hint="eastAsia" w:ascii="仿宋_GB2312" w:hAnsi="仿宋_GB2312" w:eastAsia="仿宋_GB2312" w:cs="仿宋_GB2312"/>
          <w:color w:val="000000"/>
          <w:kern w:val="0"/>
          <w:sz w:val="32"/>
          <w:szCs w:val="32"/>
        </w:rPr>
      </w:pPr>
      <w:r>
        <w:rPr>
          <w:rFonts w:hint="eastAsia" w:ascii="仿宋_GB2312" w:hAnsi="仿宋_GB2312" w:eastAsia="仿宋_GB2312" w:cs="仿宋_GB2312"/>
          <w:color w:val="000000"/>
          <w:kern w:val="0"/>
          <w:sz w:val="32"/>
          <w:szCs w:val="32"/>
        </w:rPr>
        <w:t>（一）建筑物防雷设计规范规定的一、二、三类防雷建（构）筑物；</w:t>
      </w:r>
    </w:p>
    <w:p>
      <w:pPr>
        <w:widowControl/>
        <w:shd w:val="clear" w:color="auto" w:fill="FFFFFF"/>
        <w:spacing w:line="560" w:lineRule="exact"/>
        <w:ind w:firstLine="640" w:firstLineChars="200"/>
        <w:jc w:val="left"/>
        <w:rPr>
          <w:rFonts w:hint="eastAsia" w:ascii="仿宋_GB2312" w:hAnsi="仿宋_GB2312" w:eastAsia="仿宋_GB2312" w:cs="仿宋_GB2312"/>
          <w:color w:val="000000"/>
          <w:kern w:val="0"/>
          <w:sz w:val="32"/>
          <w:szCs w:val="32"/>
        </w:rPr>
      </w:pPr>
      <w:r>
        <w:rPr>
          <w:rFonts w:hint="eastAsia" w:ascii="仿宋_GB2312" w:hAnsi="仿宋_GB2312" w:eastAsia="仿宋_GB2312" w:cs="仿宋_GB2312"/>
          <w:color w:val="000000"/>
          <w:kern w:val="0"/>
          <w:sz w:val="32"/>
          <w:szCs w:val="32"/>
        </w:rPr>
        <w:t>（二）石油、化工等易燃易爆物品的生产或者储存场所；</w:t>
      </w:r>
    </w:p>
    <w:p>
      <w:pPr>
        <w:widowControl/>
        <w:shd w:val="clear" w:color="auto" w:fill="FFFFFF"/>
        <w:spacing w:line="560" w:lineRule="exact"/>
        <w:ind w:firstLine="640" w:firstLineChars="200"/>
        <w:jc w:val="left"/>
        <w:rPr>
          <w:rFonts w:hint="eastAsia" w:ascii="仿宋_GB2312" w:hAnsi="仿宋_GB2312" w:eastAsia="仿宋_GB2312" w:cs="仿宋_GB2312"/>
          <w:color w:val="000000"/>
          <w:kern w:val="0"/>
          <w:sz w:val="32"/>
          <w:szCs w:val="32"/>
        </w:rPr>
      </w:pPr>
      <w:r>
        <w:rPr>
          <w:rFonts w:hint="eastAsia" w:ascii="仿宋_GB2312" w:hAnsi="仿宋_GB2312" w:eastAsia="仿宋_GB2312" w:cs="仿宋_GB2312"/>
          <w:color w:val="000000"/>
          <w:kern w:val="0"/>
          <w:sz w:val="32"/>
          <w:szCs w:val="32"/>
        </w:rPr>
        <w:t>（三）电力生产设施和输配电系统；</w:t>
      </w:r>
    </w:p>
    <w:p>
      <w:pPr>
        <w:widowControl/>
        <w:shd w:val="clear" w:color="auto" w:fill="FFFFFF"/>
        <w:spacing w:line="560" w:lineRule="exact"/>
        <w:ind w:firstLine="640" w:firstLineChars="200"/>
        <w:jc w:val="left"/>
        <w:rPr>
          <w:rFonts w:hint="eastAsia" w:ascii="仿宋_GB2312" w:hAnsi="仿宋_GB2312" w:eastAsia="仿宋_GB2312" w:cs="仿宋_GB2312"/>
          <w:color w:val="000000"/>
          <w:kern w:val="0"/>
          <w:sz w:val="32"/>
          <w:szCs w:val="32"/>
        </w:rPr>
      </w:pPr>
      <w:r>
        <w:rPr>
          <w:rFonts w:hint="eastAsia" w:ascii="仿宋_GB2312" w:hAnsi="仿宋_GB2312" w:eastAsia="仿宋_GB2312" w:cs="仿宋_GB2312"/>
          <w:color w:val="000000"/>
          <w:kern w:val="0"/>
          <w:sz w:val="32"/>
          <w:szCs w:val="32"/>
        </w:rPr>
        <w:t xml:space="preserve">（四）通信设施、广播电视系统、计算机信息系统； </w:t>
      </w:r>
    </w:p>
    <w:p>
      <w:pPr>
        <w:widowControl/>
        <w:shd w:val="clear" w:color="auto" w:fill="FFFFFF"/>
        <w:spacing w:line="560" w:lineRule="exact"/>
        <w:ind w:firstLine="640" w:firstLineChars="200"/>
        <w:jc w:val="left"/>
        <w:rPr>
          <w:rFonts w:hint="eastAsia" w:ascii="仿宋_GB2312" w:hAnsi="仿宋_GB2312" w:eastAsia="仿宋_GB2312" w:cs="仿宋_GB2312"/>
          <w:color w:val="000000"/>
          <w:kern w:val="0"/>
          <w:sz w:val="32"/>
          <w:szCs w:val="32"/>
        </w:rPr>
      </w:pPr>
      <w:r>
        <w:rPr>
          <w:rFonts w:hint="eastAsia" w:ascii="仿宋_GB2312" w:hAnsi="仿宋_GB2312" w:eastAsia="仿宋_GB2312" w:cs="仿宋_GB2312"/>
          <w:color w:val="000000"/>
          <w:kern w:val="0"/>
          <w:sz w:val="32"/>
          <w:szCs w:val="32"/>
        </w:rPr>
        <w:t xml:space="preserve">（五）国家战略物资储备及其他重要物资的仓储场所，尚存地上建筑的各级文物保护单位；  </w:t>
      </w:r>
    </w:p>
    <w:p>
      <w:pPr>
        <w:widowControl/>
        <w:shd w:val="clear" w:color="auto" w:fill="FFFFFF"/>
        <w:spacing w:line="560" w:lineRule="exact"/>
        <w:ind w:firstLine="640" w:firstLineChars="200"/>
        <w:jc w:val="left"/>
        <w:rPr>
          <w:rFonts w:hint="eastAsia" w:ascii="仿宋_GB2312" w:hAnsi="仿宋_GB2312" w:eastAsia="仿宋_GB2312" w:cs="仿宋_GB2312"/>
          <w:color w:val="000000"/>
          <w:kern w:val="0"/>
          <w:sz w:val="32"/>
          <w:szCs w:val="32"/>
        </w:rPr>
      </w:pPr>
      <w:r>
        <w:rPr>
          <w:rFonts w:hint="eastAsia" w:ascii="仿宋_GB2312" w:hAnsi="仿宋_GB2312" w:eastAsia="仿宋_GB2312" w:cs="仿宋_GB2312"/>
          <w:color w:val="000000"/>
          <w:kern w:val="0"/>
          <w:sz w:val="32"/>
          <w:szCs w:val="32"/>
        </w:rPr>
        <w:t>（六）学校、宾馆、大型娱乐场所等人口聚集场所；</w:t>
      </w:r>
    </w:p>
    <w:p>
      <w:pPr>
        <w:widowControl/>
        <w:shd w:val="clear" w:color="auto" w:fill="FFFFFF"/>
        <w:spacing w:line="560" w:lineRule="exact"/>
        <w:ind w:firstLine="640" w:firstLineChars="200"/>
        <w:jc w:val="left"/>
        <w:rPr>
          <w:rFonts w:hint="eastAsia" w:ascii="仿宋_GB2312" w:hAnsi="仿宋_GB2312" w:eastAsia="仿宋_GB2312" w:cs="仿宋_GB2312"/>
          <w:color w:val="000000"/>
          <w:kern w:val="0"/>
          <w:sz w:val="32"/>
          <w:szCs w:val="32"/>
        </w:rPr>
      </w:pPr>
      <w:r>
        <w:rPr>
          <w:rFonts w:hint="eastAsia" w:ascii="仿宋_GB2312" w:hAnsi="仿宋_GB2312" w:eastAsia="仿宋_GB2312" w:cs="仿宋_GB2312"/>
          <w:color w:val="000000"/>
          <w:kern w:val="0"/>
          <w:sz w:val="32"/>
          <w:szCs w:val="32"/>
        </w:rPr>
        <w:t>（七）法律、法规和规章及国家和本省技术规范规定应当安装防雷装置的其他场所和设施。</w:t>
      </w:r>
    </w:p>
    <w:p>
      <w:pPr>
        <w:widowControl/>
        <w:shd w:val="clear" w:color="auto" w:fill="FFFFFF"/>
        <w:spacing w:before="0" w:beforeAutospacing="0" w:after="0" w:afterAutospacing="0" w:line="560" w:lineRule="exact"/>
        <w:ind w:firstLine="640" w:firstLineChars="200"/>
        <w:jc w:val="left"/>
        <w:rPr>
          <w:rFonts w:hint="eastAsia" w:ascii="仿宋_GB2312" w:hAnsi="仿宋_GB2312" w:eastAsia="CESI黑体-GB13000" w:cs="仿宋_GB2312"/>
          <w:color w:val="000000"/>
          <w:kern w:val="0"/>
          <w:sz w:val="32"/>
          <w:szCs w:val="32"/>
        </w:rPr>
      </w:pPr>
      <w:r>
        <w:rPr>
          <w:rFonts w:hint="eastAsia" w:ascii="仿宋_GB2312" w:hAnsi="仿宋_GB2312" w:eastAsia="仿宋_GB2312" w:cs="仿宋_GB2312"/>
          <w:color w:val="000000"/>
          <w:kern w:val="0"/>
          <w:sz w:val="32"/>
          <w:szCs w:val="32"/>
        </w:rPr>
        <w:t>投入使用后的</w:t>
      </w:r>
      <w:r>
        <w:rPr>
          <w:rFonts w:hint="eastAsia" w:ascii="仿宋_GB2312" w:hAnsi="仿宋_GB2312" w:eastAsia="仿宋_GB2312" w:cs="仿宋_GB2312"/>
          <w:color w:val="000000"/>
          <w:kern w:val="0"/>
          <w:sz w:val="32"/>
          <w:szCs w:val="32"/>
          <w:lang w:eastAsia="zh-CN"/>
        </w:rPr>
        <w:t>雷电防护</w:t>
      </w:r>
      <w:r>
        <w:rPr>
          <w:rFonts w:hint="eastAsia" w:ascii="仿宋_GB2312" w:hAnsi="仿宋_GB2312" w:eastAsia="仿宋_GB2312" w:cs="仿宋_GB2312"/>
          <w:color w:val="000000"/>
          <w:kern w:val="0"/>
          <w:sz w:val="32"/>
          <w:szCs w:val="32"/>
        </w:rPr>
        <w:t>装置实行定期安全检测制度。</w:t>
      </w:r>
      <w:r>
        <w:rPr>
          <w:rFonts w:hint="eastAsia" w:ascii="仿宋_GB2312" w:hAnsi="仿宋_GB2312" w:eastAsia="仿宋_GB2312" w:cs="仿宋_GB2312"/>
          <w:color w:val="000000"/>
          <w:kern w:val="0"/>
          <w:sz w:val="32"/>
          <w:szCs w:val="32"/>
          <w:lang w:eastAsia="zh-CN"/>
        </w:rPr>
        <w:t>雷电防护</w:t>
      </w:r>
      <w:r>
        <w:rPr>
          <w:rFonts w:hint="eastAsia" w:ascii="仿宋_GB2312" w:hAnsi="仿宋_GB2312" w:eastAsia="仿宋_GB2312" w:cs="仿宋_GB2312"/>
          <w:color w:val="000000"/>
          <w:kern w:val="0"/>
          <w:sz w:val="32"/>
          <w:szCs w:val="32"/>
        </w:rPr>
        <w:t>装置每年检测一次，其中易燃、易爆物品和化学危险物品的生产、储存设施和场所的</w:t>
      </w:r>
      <w:r>
        <w:rPr>
          <w:rFonts w:hint="eastAsia" w:ascii="仿宋_GB2312" w:hAnsi="仿宋_GB2312" w:eastAsia="仿宋_GB2312" w:cs="仿宋_GB2312"/>
          <w:color w:val="000000"/>
          <w:kern w:val="0"/>
          <w:sz w:val="32"/>
          <w:szCs w:val="32"/>
          <w:lang w:eastAsia="zh-CN"/>
        </w:rPr>
        <w:t>雷电防护</w:t>
      </w:r>
      <w:r>
        <w:rPr>
          <w:rFonts w:hint="eastAsia" w:ascii="仿宋_GB2312" w:hAnsi="仿宋_GB2312" w:eastAsia="仿宋_GB2312" w:cs="仿宋_GB2312"/>
          <w:color w:val="000000"/>
          <w:kern w:val="0"/>
          <w:sz w:val="32"/>
          <w:szCs w:val="32"/>
        </w:rPr>
        <w:t>装置每半年检测一次。</w:t>
      </w:r>
    </w:p>
    <w:p>
      <w:pPr>
        <w:widowControl/>
        <w:shd w:val="clear" w:color="auto" w:fill="FFFFFF"/>
        <w:spacing w:before="0" w:beforeAutospacing="0" w:after="0" w:afterAutospacing="0" w:line="560" w:lineRule="exact"/>
        <w:ind w:firstLine="640" w:firstLineChars="200"/>
        <w:jc w:val="left"/>
        <w:rPr>
          <w:rFonts w:hint="eastAsia" w:ascii="仿宋_GB2312" w:hAnsi="仿宋_GB2312" w:eastAsia="CESI黑体-GB13000" w:cs="仿宋_GB2312"/>
          <w:color w:val="000000"/>
          <w:kern w:val="0"/>
          <w:sz w:val="32"/>
          <w:szCs w:val="32"/>
        </w:rPr>
      </w:pPr>
      <w:r>
        <w:rPr>
          <w:rFonts w:hint="eastAsia" w:ascii="仿宋_GB2312" w:hAnsi="仿宋_GB2312" w:eastAsia="CESI黑体-GB13000" w:cs="仿宋_GB2312"/>
          <w:color w:val="000000"/>
          <w:kern w:val="0"/>
          <w:sz w:val="32"/>
          <w:szCs w:val="32"/>
        </w:rPr>
        <w:t>二、雷电防护装置检测机构</w:t>
      </w:r>
    </w:p>
    <w:p>
      <w:pPr>
        <w:widowControl/>
        <w:shd w:val="clear" w:color="auto" w:fill="FFFFFF"/>
        <w:spacing w:before="0" w:beforeAutospacing="0" w:after="0" w:afterAutospacing="0" w:line="560" w:lineRule="exact"/>
        <w:ind w:firstLine="640" w:firstLineChars="200"/>
        <w:jc w:val="left"/>
        <w:rPr>
          <w:rFonts w:hint="eastAsia" w:ascii="仿宋_GB2312" w:hAnsi="仿宋_GB2312" w:eastAsia="仿宋_GB2312" w:cs="仿宋_GB2312"/>
          <w:color w:val="000000"/>
          <w:kern w:val="0"/>
          <w:sz w:val="32"/>
          <w:szCs w:val="32"/>
        </w:rPr>
      </w:pPr>
      <w:r>
        <w:rPr>
          <w:rFonts w:hint="eastAsia" w:ascii="仿宋_GB2312" w:hAnsi="仿宋_GB2312" w:eastAsia="仿宋_GB2312" w:cs="仿宋_GB2312"/>
          <w:color w:val="000000"/>
          <w:kern w:val="0"/>
          <w:sz w:val="32"/>
          <w:szCs w:val="32"/>
        </w:rPr>
        <w:t>（一）开展雷电防护装置检测的单位必须依法取得省级气象主管机构颁发的雷电防护装置检测资质证，并在资质等级许可的范围内开展检测活动。禁止无资质证或者超出资质等级承接雷电防护装置检测，禁止转包或者违法分包。</w:t>
      </w:r>
    </w:p>
    <w:p>
      <w:pPr>
        <w:widowControl/>
        <w:shd w:val="clear" w:color="auto" w:fill="FFFFFF"/>
        <w:spacing w:before="0" w:beforeAutospacing="0" w:after="0" w:afterAutospacing="0" w:line="560" w:lineRule="exact"/>
        <w:ind w:firstLine="640" w:firstLineChars="200"/>
        <w:jc w:val="left"/>
        <w:rPr>
          <w:rFonts w:hint="eastAsia" w:ascii="仿宋_GB2312" w:hAnsi="仿宋_GB2312" w:eastAsia="仿宋_GB2312" w:cs="仿宋_GB2312"/>
          <w:color w:val="000000"/>
          <w:kern w:val="0"/>
          <w:sz w:val="32"/>
          <w:szCs w:val="32"/>
        </w:rPr>
      </w:pPr>
      <w:r>
        <w:rPr>
          <w:rFonts w:hint="eastAsia" w:ascii="仿宋_GB2312" w:hAnsi="仿宋_GB2312" w:eastAsia="仿宋_GB2312" w:cs="仿宋_GB2312"/>
          <w:color w:val="000000"/>
          <w:kern w:val="0"/>
          <w:sz w:val="32"/>
          <w:szCs w:val="32"/>
        </w:rPr>
        <w:t>（二）雷电防护装置检测资质等级分为甲、乙两级。甲级资质单位可以从事《建筑物防雷设计规范》规定的第一类、第二类、第三类建（构）物的雷电防护装置的检测。乙级资质单位可以从事《建筑物防雷设计规范》规定的第三类建（构）物的雷电防护装置的检测。</w:t>
      </w:r>
    </w:p>
    <w:p>
      <w:pPr>
        <w:widowControl/>
        <w:shd w:val="clear" w:color="auto" w:fill="FFFFFF"/>
        <w:spacing w:before="0" w:beforeAutospacing="0" w:after="0" w:afterAutospacing="0" w:line="560" w:lineRule="exact"/>
        <w:ind w:firstLine="640" w:firstLineChars="200"/>
        <w:jc w:val="left"/>
        <w:rPr>
          <w:rFonts w:hint="eastAsia" w:ascii="仿宋_GB2312" w:hAnsi="仿宋_GB2312" w:eastAsia="仿宋_GB2312" w:cs="仿宋_GB2312"/>
          <w:color w:val="000000"/>
          <w:kern w:val="0"/>
          <w:sz w:val="32"/>
          <w:szCs w:val="32"/>
        </w:rPr>
      </w:pPr>
      <w:r>
        <w:rPr>
          <w:rFonts w:hint="eastAsia" w:ascii="仿宋_GB2312" w:hAnsi="仿宋_GB2312" w:eastAsia="仿宋_GB2312" w:cs="仿宋_GB2312"/>
          <w:color w:val="000000"/>
          <w:kern w:val="0"/>
          <w:sz w:val="32"/>
          <w:szCs w:val="32"/>
        </w:rPr>
        <w:t>（三）雷电防护装置检测资质证可通过全国防雷减灾综合管理服务平台（访问地址：https://www.qgfljg.cn）核验。</w:t>
      </w:r>
    </w:p>
    <w:p>
      <w:pPr>
        <w:widowControl/>
        <w:shd w:val="clear" w:color="auto" w:fill="FFFFFF"/>
        <w:spacing w:before="0" w:beforeAutospacing="0" w:after="0" w:afterAutospacing="0" w:line="560" w:lineRule="exact"/>
        <w:ind w:firstLine="640" w:firstLineChars="200"/>
        <w:jc w:val="left"/>
        <w:rPr>
          <w:rFonts w:hint="eastAsia" w:ascii="仿宋_GB2312" w:hAnsi="仿宋_GB2312" w:eastAsia="仿宋_GB2312" w:cs="仿宋_GB2312"/>
          <w:color w:val="000000"/>
          <w:kern w:val="0"/>
          <w:sz w:val="32"/>
          <w:szCs w:val="32"/>
        </w:rPr>
      </w:pPr>
      <w:r>
        <w:rPr>
          <w:rFonts w:hint="eastAsia" w:ascii="仿宋_GB2312" w:hAnsi="仿宋_GB2312" w:eastAsia="CESI黑体-GB13000" w:cs="仿宋_GB2312"/>
          <w:color w:val="000000"/>
          <w:kern w:val="0"/>
          <w:sz w:val="32"/>
          <w:szCs w:val="32"/>
        </w:rPr>
        <w:t>三、防雷安全责任落实</w:t>
      </w:r>
    </w:p>
    <w:p>
      <w:pPr>
        <w:widowControl/>
        <w:shd w:val="clear" w:color="auto" w:fill="FFFFFF"/>
        <w:spacing w:before="0" w:beforeAutospacing="0" w:after="0" w:afterAutospacing="0" w:line="560" w:lineRule="exact"/>
        <w:ind w:firstLine="640" w:firstLineChars="200"/>
        <w:jc w:val="left"/>
        <w:rPr>
          <w:rFonts w:hint="eastAsia" w:ascii="仿宋_GB2312" w:hAnsi="仿宋_GB2312" w:eastAsia="仿宋_GB2312" w:cs="仿宋_GB2312"/>
          <w:color w:val="000000"/>
          <w:kern w:val="0"/>
          <w:sz w:val="32"/>
          <w:szCs w:val="32"/>
        </w:rPr>
      </w:pPr>
      <w:r>
        <w:rPr>
          <w:rFonts w:hint="eastAsia" w:ascii="仿宋_GB2312" w:hAnsi="仿宋_GB2312" w:eastAsia="仿宋_GB2312" w:cs="仿宋_GB2312"/>
          <w:color w:val="000000"/>
          <w:kern w:val="0"/>
          <w:sz w:val="32"/>
          <w:szCs w:val="32"/>
        </w:rPr>
        <w:t>（一）雷电灾害防御是安全生产</w:t>
      </w:r>
      <w:r>
        <w:rPr>
          <w:rFonts w:hint="eastAsia" w:ascii="仿宋_GB2312" w:hAnsi="仿宋_GB2312" w:eastAsia="仿宋_GB2312" w:cs="仿宋_GB2312"/>
          <w:color w:val="000000"/>
          <w:kern w:val="0"/>
          <w:sz w:val="32"/>
          <w:szCs w:val="32"/>
          <w:lang w:eastAsia="zh-CN"/>
        </w:rPr>
        <w:t>工作</w:t>
      </w:r>
      <w:r>
        <w:rPr>
          <w:rFonts w:hint="eastAsia" w:ascii="仿宋_GB2312" w:hAnsi="仿宋_GB2312" w:eastAsia="仿宋_GB2312" w:cs="仿宋_GB2312"/>
          <w:color w:val="000000"/>
          <w:kern w:val="0"/>
          <w:sz w:val="32"/>
          <w:szCs w:val="32"/>
        </w:rPr>
        <w:t>的重要组成部分，雷电防护装置安全性能定期检测是防雷安全隐患排查的重要手段，各雷电防护装置业主单位要落实防雷安全主体责任，按要求委托具有相应资质等级的雷电防护装置检测单位对本单位所有雷电防护装置进行定期检测，做到应检必检，并对存在的雷电灾害隐患及时进行整改。</w:t>
      </w:r>
    </w:p>
    <w:p>
      <w:pPr>
        <w:widowControl/>
        <w:shd w:val="clear" w:color="auto" w:fill="FFFFFF"/>
        <w:spacing w:before="0" w:beforeAutospacing="0" w:after="0" w:afterAutospacing="0" w:line="560" w:lineRule="exact"/>
        <w:ind w:firstLine="640" w:firstLineChars="200"/>
        <w:jc w:val="left"/>
        <w:rPr>
          <w:rFonts w:hint="eastAsia" w:ascii="仿宋_GB2312" w:hAnsi="仿宋_GB2312" w:eastAsia="仿宋_GB2312" w:cs="仿宋_GB2312"/>
          <w:color w:val="000000"/>
          <w:kern w:val="0"/>
          <w:sz w:val="32"/>
          <w:szCs w:val="32"/>
        </w:rPr>
      </w:pPr>
      <w:r>
        <w:rPr>
          <w:rFonts w:hint="eastAsia" w:ascii="仿宋_GB2312" w:hAnsi="仿宋_GB2312" w:eastAsia="仿宋_GB2312" w:cs="仿宋_GB2312"/>
          <w:color w:val="000000"/>
          <w:kern w:val="0"/>
          <w:sz w:val="32"/>
          <w:szCs w:val="32"/>
        </w:rPr>
        <w:t>（二）各雷电防护装置检测机构要落实防雷安全检测主体责任，在资质核定的范围内开展检测，规范编制雷电防护装置检测报告，确保出具的雷电防护装置检测数据与结果的真实、客观、准确。发现存在雷电防护装置隐患的，要向被检测单位提出整</w:t>
      </w:r>
      <w:bookmarkStart w:id="2" w:name="_GoBack"/>
      <w:bookmarkEnd w:id="2"/>
      <w:r>
        <w:rPr>
          <w:rFonts w:hint="eastAsia" w:ascii="仿宋_GB2312" w:hAnsi="仿宋_GB2312" w:eastAsia="仿宋_GB2312" w:cs="仿宋_GB2312"/>
          <w:color w:val="000000"/>
          <w:kern w:val="0"/>
          <w:sz w:val="32"/>
          <w:szCs w:val="32"/>
        </w:rPr>
        <w:t>改意见；被检测单位属于防雷安全重点单位的要将整改意见报告当地气象主管机构。</w:t>
      </w:r>
    </w:p>
    <w:p>
      <w:pPr>
        <w:widowControl/>
        <w:shd w:val="clear" w:color="auto" w:fill="FFFFFF"/>
        <w:spacing w:before="0" w:beforeAutospacing="0" w:after="0" w:afterAutospacing="0" w:line="560" w:lineRule="exact"/>
        <w:ind w:firstLine="640" w:firstLineChars="200"/>
        <w:jc w:val="left"/>
        <w:rPr>
          <w:rFonts w:hint="eastAsia" w:ascii="仿宋_GB2312" w:hAnsi="仿宋_GB2312" w:eastAsia="仿宋_GB2312" w:cs="仿宋_GB2312"/>
          <w:color w:val="000000"/>
          <w:kern w:val="0"/>
          <w:sz w:val="32"/>
          <w:szCs w:val="32"/>
        </w:rPr>
      </w:pPr>
      <w:r>
        <w:rPr>
          <w:rFonts w:hint="eastAsia" w:ascii="仿宋_GB2312" w:hAnsi="仿宋_GB2312" w:eastAsia="仿宋_GB2312" w:cs="仿宋_GB2312"/>
          <w:color w:val="000000"/>
          <w:kern w:val="0"/>
          <w:sz w:val="32"/>
          <w:szCs w:val="32"/>
        </w:rPr>
        <w:t>（三）气象主管机构</w:t>
      </w:r>
      <w:r>
        <w:rPr>
          <w:rFonts w:hint="eastAsia" w:ascii="仿宋_GB2312" w:hAnsi="仿宋_GB2312" w:cs="仿宋_GB2312"/>
          <w:color w:val="000000"/>
          <w:kern w:val="0"/>
          <w:sz w:val="32"/>
          <w:szCs w:val="32"/>
          <w:lang w:eastAsia="zh-CN"/>
        </w:rPr>
        <w:t>为</w:t>
      </w:r>
      <w:r>
        <w:rPr>
          <w:rFonts w:hint="eastAsia" w:ascii="仿宋_GB2312" w:hAnsi="仿宋_GB2312" w:eastAsia="仿宋_GB2312" w:cs="仿宋_GB2312"/>
          <w:color w:val="000000"/>
          <w:kern w:val="0"/>
          <w:sz w:val="32"/>
          <w:szCs w:val="32"/>
        </w:rPr>
        <w:t>落实防雷安全监管责任，切实加强对本行政区域内防雷安全重点单位和雷电防护装置检测活动的监督检查，发现事故隐患要及时督促整改，受理管辖范围内有关防雷安全举报和投诉，依法查处违法违规行为。</w:t>
      </w:r>
    </w:p>
    <w:p>
      <w:pPr>
        <w:widowControl/>
        <w:shd w:val="clear" w:color="auto" w:fill="FFFFFF"/>
        <w:spacing w:before="0" w:beforeAutospacing="0" w:after="0" w:afterAutospacing="0" w:line="560" w:lineRule="exact"/>
        <w:ind w:firstLine="640" w:firstLineChars="200"/>
        <w:jc w:val="left"/>
        <w:rPr>
          <w:rFonts w:hint="default"/>
          <w:lang w:val="en-US" w:eastAsia="zh-CN"/>
        </w:rPr>
      </w:pPr>
      <w:r>
        <w:rPr>
          <w:rFonts w:hint="eastAsia" w:ascii="仿宋_GB2312" w:hAnsi="仿宋_GB2312" w:cs="仿宋_GB2312"/>
          <w:color w:val="000000"/>
          <w:kern w:val="0"/>
          <w:sz w:val="32"/>
          <w:szCs w:val="32"/>
          <w:lang w:val="en-US" w:eastAsia="zh-CN"/>
        </w:rPr>
        <w:t>隆尧县</w:t>
      </w:r>
      <w:r>
        <w:rPr>
          <w:rFonts w:hint="eastAsia" w:ascii="仿宋_GB2312" w:hAnsi="仿宋_GB2312" w:eastAsia="仿宋_GB2312" w:cs="仿宋_GB2312"/>
          <w:color w:val="000000"/>
          <w:kern w:val="0"/>
          <w:sz w:val="32"/>
          <w:szCs w:val="32"/>
        </w:rPr>
        <w:t>气象局咨询举报电话：0</w:t>
      </w:r>
      <w:r>
        <w:rPr>
          <w:rFonts w:hint="eastAsia" w:ascii="仿宋_GB2312" w:hAnsi="仿宋_GB2312" w:eastAsia="仿宋_GB2312" w:cs="仿宋_GB2312"/>
          <w:color w:val="000000"/>
          <w:kern w:val="0"/>
          <w:sz w:val="32"/>
          <w:szCs w:val="32"/>
          <w:lang w:eastAsia="zh-CN"/>
        </w:rPr>
        <w:t>3</w:t>
      </w:r>
      <w:r>
        <w:rPr>
          <w:rFonts w:hint="eastAsia" w:ascii="仿宋_GB2312" w:hAnsi="仿宋_GB2312" w:eastAsia="仿宋_GB2312" w:cs="仿宋_GB2312"/>
          <w:color w:val="000000"/>
          <w:kern w:val="0"/>
          <w:sz w:val="32"/>
          <w:szCs w:val="32"/>
          <w:lang w:val="en-US" w:eastAsia="zh-CN"/>
        </w:rPr>
        <w:t>1</w:t>
      </w:r>
      <w:r>
        <w:rPr>
          <w:rFonts w:hint="eastAsia" w:ascii="仿宋_GB2312" w:hAnsi="仿宋_GB2312" w:cs="仿宋_GB2312"/>
          <w:color w:val="000000"/>
          <w:kern w:val="0"/>
          <w:sz w:val="32"/>
          <w:szCs w:val="32"/>
          <w:lang w:val="en-US" w:eastAsia="zh-CN"/>
        </w:rPr>
        <w:t>9</w:t>
      </w:r>
      <w:r>
        <w:rPr>
          <w:rFonts w:hint="eastAsia" w:ascii="仿宋_GB2312" w:hAnsi="仿宋_GB2312" w:eastAsia="仿宋_GB2312" w:cs="仿宋_GB2312"/>
          <w:color w:val="000000"/>
          <w:kern w:val="0"/>
          <w:sz w:val="32"/>
          <w:szCs w:val="32"/>
        </w:rPr>
        <w:t>-</w:t>
      </w:r>
      <w:r>
        <w:rPr>
          <w:rFonts w:hint="eastAsia" w:ascii="仿宋_GB2312" w:hAnsi="仿宋_GB2312" w:cs="仿宋_GB2312"/>
          <w:color w:val="000000"/>
          <w:kern w:val="0"/>
          <w:sz w:val="32"/>
          <w:szCs w:val="32"/>
          <w:lang w:val="en-US" w:eastAsia="zh-CN"/>
        </w:rPr>
        <w:t>6662513</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panose1 w:val="02010609030101010101"/>
    <w:charset w:val="86"/>
    <w:family w:val="modern"/>
    <w:pitch w:val="default"/>
    <w:sig w:usb0="00000001" w:usb1="080E0000" w:usb2="00000000" w:usb3="00000000" w:csb0="00040000" w:csb1="00000000"/>
  </w:font>
  <w:font w:name="方正小标宋简体">
    <w:panose1 w:val="02010601030101010101"/>
    <w:charset w:val="86"/>
    <w:family w:val="script"/>
    <w:pitch w:val="default"/>
    <w:sig w:usb0="00000001" w:usb1="080E0000" w:usb2="00000000" w:usb3="00000000" w:csb0="00040000" w:csb1="00000000"/>
  </w:font>
  <w:font w:name="CESI黑体-GB13000">
    <w:altName w:val="黑体"/>
    <w:panose1 w:val="02000500000000000000"/>
    <w:charset w:val="86"/>
    <w:family w:val="auto"/>
    <w:pitch w:val="default"/>
    <w:sig w:usb0="00000000" w:usb1="00000000" w:usb2="00000016" w:usb3="00000000" w:csb0="0004000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22535F7E"/>
    <w:rsid w:val="266D1D7A"/>
    <w:rsid w:val="280D5CC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uiPriority w:val="0"/>
    <w:pPr>
      <w:widowControl w:val="0"/>
      <w:spacing w:line="560" w:lineRule="exact"/>
      <w:jc w:val="both"/>
    </w:pPr>
    <w:rPr>
      <w:rFonts w:ascii="Times New Roman" w:hAnsi="Times New Roman" w:eastAsia="仿宋_GB2312" w:cs="Times New Roman"/>
      <w:kern w:val="2"/>
      <w:sz w:val="32"/>
      <w:lang w:val="en-US" w:eastAsia="zh-CN" w:bidi="ar-SA"/>
    </w:rPr>
  </w:style>
  <w:style w:type="character" w:default="1" w:styleId="2">
    <w:name w:val="Default Paragraph Font"/>
    <w:semiHidden/>
    <w:uiPriority w:val="0"/>
  </w:style>
  <w:style w:type="table" w:default="1" w:styleId="3">
    <w:name w:val="Normal Table"/>
    <w:semiHidden/>
    <w:uiPriority w:val="0"/>
    <w:tblPr>
      <w:tblLayout w:type="fixed"/>
      <w:tblCellMar>
        <w:top w:w="0" w:type="dxa"/>
        <w:left w:w="108" w:type="dxa"/>
        <w:bottom w:w="0" w:type="dxa"/>
        <w:right w:w="108" w:type="dxa"/>
      </w:tblCellMar>
    </w:tbl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theme/theme1.xml" Type="http://schemas.openxmlformats.org/officeDocument/2006/relationships/theme"/><Relationship Id="rId4" Target="../customXml/item1.xml" Type="http://schemas.openxmlformats.org/officeDocument/2006/relationships/customXml"/><Relationship Id="rId5" Target="fontTable.xml" Type="http://schemas.openxmlformats.org/officeDocument/2006/relationships/fontTable"/></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26</TotalTime>
  <ScaleCrop>false</ScaleCrop>
  <LinksUpToDate>false</LinksUpToDate>
  <CharactersWithSpaces>0</CharactersWithSpaces>
  <Application>WPS Office_11.8.2.8053_F1E327BC-269C-435d-A152-05C5408002CA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2022-04-02T08:39:00Z</dcterms:created>
  <dc:creator>LQG</dc:creator>
  <cp:lastModifiedBy>邢台市局办公</cp:lastModifiedBy>
  <dcterms:modified xsi:type="dcterms:W3CDTF">2022-04-07T06:39:12Z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2052-11.8.2.8053</vt:lpwstr>
  </property>
</Properties>
</file>