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308" w:rsidRDefault="00975308" w:rsidP="00975308">
      <w:pPr>
        <w:widowControl/>
        <w:spacing w:line="600" w:lineRule="exact"/>
        <w:ind w:firstLineChars="400" w:firstLine="2000"/>
        <w:rPr>
          <w:rFonts w:ascii="宋体-PUA" w:eastAsia="宋体-PUA" w:hAnsi="宋体-PUA" w:cs="宋体-PUA"/>
          <w:spacing w:val="30"/>
          <w:kern w:val="0"/>
          <w:sz w:val="44"/>
          <w:szCs w:val="44"/>
        </w:rPr>
      </w:pPr>
    </w:p>
    <w:p w:rsidR="00975308" w:rsidRDefault="00975308" w:rsidP="00975308">
      <w:pPr>
        <w:widowControl/>
        <w:spacing w:line="600" w:lineRule="exact"/>
        <w:ind w:firstLineChars="400" w:firstLine="2000"/>
        <w:rPr>
          <w:rFonts w:ascii="宋体-PUA" w:eastAsia="宋体-PUA" w:hAnsi="宋体-PUA" w:cs="宋体-PUA"/>
          <w:spacing w:val="30"/>
          <w:kern w:val="0"/>
          <w:sz w:val="44"/>
          <w:szCs w:val="44"/>
        </w:rPr>
      </w:pPr>
    </w:p>
    <w:p w:rsidR="00975308" w:rsidRPr="006E1543" w:rsidRDefault="00975308" w:rsidP="00975308">
      <w:pPr>
        <w:widowControl/>
        <w:spacing w:line="600" w:lineRule="exact"/>
        <w:ind w:firstLineChars="400" w:firstLine="2000"/>
        <w:rPr>
          <w:rFonts w:ascii="宋体" w:hAnsi="宋体" w:cs="宋体-PUA"/>
          <w:spacing w:val="30"/>
          <w:kern w:val="0"/>
          <w:sz w:val="32"/>
          <w:szCs w:val="32"/>
        </w:rPr>
      </w:pPr>
      <w:r w:rsidRPr="006E1543">
        <w:rPr>
          <w:rFonts w:ascii="宋体" w:hAnsi="宋体" w:cs="宋体-PUA" w:hint="eastAsia"/>
          <w:spacing w:val="30"/>
          <w:kern w:val="0"/>
          <w:sz w:val="44"/>
          <w:szCs w:val="44"/>
        </w:rPr>
        <w:t>隆尧县发展和改革局</w:t>
      </w:r>
    </w:p>
    <w:p w:rsidR="00975308" w:rsidRPr="006E1543" w:rsidRDefault="00975308" w:rsidP="00975308">
      <w:pPr>
        <w:widowControl/>
        <w:spacing w:line="600" w:lineRule="exact"/>
        <w:jc w:val="center"/>
        <w:rPr>
          <w:rFonts w:ascii="宋体" w:hAnsi="宋体" w:cs="宋体-PUA"/>
          <w:spacing w:val="30"/>
          <w:kern w:val="0"/>
          <w:sz w:val="44"/>
          <w:szCs w:val="44"/>
        </w:rPr>
      </w:pPr>
      <w:r w:rsidRPr="006E1543">
        <w:rPr>
          <w:rFonts w:ascii="宋体" w:hAnsi="宋体" w:cs="宋体-PUA" w:hint="eastAsia"/>
          <w:spacing w:val="30"/>
          <w:kern w:val="0"/>
          <w:sz w:val="44"/>
          <w:szCs w:val="44"/>
        </w:rPr>
        <w:t>2022年度“双随机、一公开”随机</w:t>
      </w:r>
    </w:p>
    <w:p w:rsidR="00975308" w:rsidRPr="006E1543" w:rsidRDefault="00975308" w:rsidP="00975308">
      <w:pPr>
        <w:widowControl/>
        <w:spacing w:line="600" w:lineRule="exact"/>
        <w:jc w:val="center"/>
        <w:rPr>
          <w:rFonts w:ascii="宋体" w:hAnsi="宋体" w:cs="宋体-PUA"/>
          <w:spacing w:val="30"/>
          <w:kern w:val="0"/>
          <w:sz w:val="44"/>
          <w:szCs w:val="44"/>
        </w:rPr>
      </w:pPr>
      <w:r w:rsidRPr="006E1543">
        <w:rPr>
          <w:rFonts w:ascii="宋体" w:hAnsi="宋体" w:cs="宋体-PUA" w:hint="eastAsia"/>
          <w:spacing w:val="30"/>
          <w:kern w:val="0"/>
          <w:sz w:val="44"/>
          <w:szCs w:val="44"/>
        </w:rPr>
        <w:t>抽查工作实施方案</w:t>
      </w:r>
    </w:p>
    <w:p w:rsidR="00975308" w:rsidRPr="00DF1E70" w:rsidRDefault="00975308" w:rsidP="00975308">
      <w:pPr>
        <w:widowControl/>
        <w:spacing w:line="600" w:lineRule="exact"/>
        <w:jc w:val="left"/>
        <w:rPr>
          <w:rFonts w:ascii="仿宋" w:eastAsia="仿宋" w:hAnsi="仿宋" w:cs="仿宋_GB2312"/>
          <w:color w:val="444444"/>
          <w:kern w:val="0"/>
          <w:sz w:val="32"/>
          <w:szCs w:val="32"/>
        </w:rPr>
      </w:pPr>
      <w:r>
        <w:rPr>
          <w:rFonts w:ascii="宋体-PUA" w:eastAsia="宋体-PUA" w:hAnsi="宋体-PUA" w:cs="宋体-PUA" w:hint="eastAsia"/>
          <w:spacing w:val="30"/>
          <w:kern w:val="0"/>
          <w:sz w:val="44"/>
          <w:szCs w:val="44"/>
        </w:rPr>
        <w:t xml:space="preserve"> </w:t>
      </w:r>
      <w:r w:rsidRPr="00DF1E70">
        <w:rPr>
          <w:rFonts w:ascii="仿宋" w:eastAsia="仿宋" w:hAnsi="仿宋" w:cs="宋体-PUA" w:hint="eastAsia"/>
          <w:spacing w:val="30"/>
          <w:kern w:val="0"/>
          <w:sz w:val="32"/>
          <w:szCs w:val="32"/>
        </w:rPr>
        <w:t xml:space="preserve"> </w:t>
      </w:r>
      <w:r w:rsidRPr="00DF1E70">
        <w:rPr>
          <w:rFonts w:ascii="仿宋" w:eastAsia="仿宋" w:hAnsi="仿宋" w:cs="仿宋_GB2312" w:hint="eastAsia"/>
          <w:color w:val="444444"/>
          <w:kern w:val="0"/>
          <w:sz w:val="32"/>
          <w:szCs w:val="32"/>
        </w:rPr>
        <w:t>按照县“双随机、一公开”监管工作领导小组通知精神和局领导指示要求，为着力提升我局“双随机、一公开”监管规范化、标准化水平，依据运隆尧县发展和改革局《“双随机、一公开”抽查事项清单》，结合本局工作实际，制定了隆尧县发展和改革局2022年度“双随机、一公开”抽查工作实施方案。</w:t>
      </w:r>
    </w:p>
    <w:p w:rsidR="00975308" w:rsidRPr="00DF1E70" w:rsidRDefault="00975308" w:rsidP="00975308">
      <w:pPr>
        <w:widowControl/>
        <w:numPr>
          <w:ilvl w:val="0"/>
          <w:numId w:val="1"/>
        </w:numPr>
        <w:spacing w:line="600" w:lineRule="exact"/>
        <w:ind w:firstLineChars="200" w:firstLine="640"/>
        <w:jc w:val="left"/>
        <w:rPr>
          <w:rFonts w:ascii="仿宋" w:eastAsia="仿宋" w:hAnsi="仿宋" w:cs="黑体"/>
          <w:color w:val="444444"/>
          <w:kern w:val="0"/>
          <w:sz w:val="32"/>
          <w:szCs w:val="32"/>
        </w:rPr>
      </w:pPr>
      <w:r w:rsidRPr="00DF1E70">
        <w:rPr>
          <w:rFonts w:ascii="仿宋" w:eastAsia="仿宋" w:hAnsi="仿宋" w:cs="黑体" w:hint="eastAsia"/>
          <w:color w:val="444444"/>
          <w:kern w:val="0"/>
          <w:sz w:val="32"/>
          <w:szCs w:val="32"/>
        </w:rPr>
        <w:t>抽查时间</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第一次抽查：2022年5月至2022年6月</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第二次抽查：2022年8月至2022年9月</w:t>
      </w:r>
    </w:p>
    <w:p w:rsidR="00975308" w:rsidRPr="00DF1E70" w:rsidRDefault="00975308" w:rsidP="00975308">
      <w:pPr>
        <w:widowControl/>
        <w:spacing w:line="600" w:lineRule="exact"/>
        <w:ind w:firstLineChars="200" w:firstLine="640"/>
        <w:jc w:val="left"/>
        <w:rPr>
          <w:rFonts w:ascii="仿宋" w:eastAsia="仿宋" w:hAnsi="仿宋" w:cs="黑体"/>
          <w:color w:val="444444"/>
          <w:kern w:val="0"/>
          <w:sz w:val="32"/>
          <w:szCs w:val="32"/>
        </w:rPr>
      </w:pPr>
      <w:r w:rsidRPr="00DF1E70">
        <w:rPr>
          <w:rFonts w:ascii="仿宋" w:eastAsia="仿宋" w:hAnsi="仿宋" w:cs="黑体" w:hint="eastAsia"/>
          <w:color w:val="444444"/>
          <w:kern w:val="0"/>
          <w:sz w:val="32"/>
          <w:szCs w:val="32"/>
        </w:rPr>
        <w:t>二、建立随机抽查事项计划</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（一）电力供应与使用</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（二）是否符合《电力法》《河北省电力条例》相关要求</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（三）2022年隆尧县发展和改革局环境保护和资源综合利用股内部联合抽查</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（四）抽查方式及抽查程序：根据上级工作部署、投诉举报及领导指示等实际需要组织检查，通常采用抽查、暗查、交叉检查等方式。通常按以下程序进行：选择检查对象，下</w:t>
      </w:r>
      <w:r w:rsidRPr="00DF1E70">
        <w:rPr>
          <w:rFonts w:ascii="仿宋" w:eastAsia="仿宋" w:hAnsi="仿宋" w:cs="仿宋_GB2312" w:hint="eastAsia"/>
          <w:color w:val="444444"/>
          <w:kern w:val="0"/>
          <w:sz w:val="32"/>
          <w:szCs w:val="32"/>
        </w:rPr>
        <w:lastRenderedPageBreak/>
        <w:t>发通知，听取介绍，查阅台账，实地勘察，面谈询问，情况汇总，反馈意见，通报检查结果，对需要协调解决的事项提出建议意见。</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黑体" w:hint="eastAsia"/>
          <w:color w:val="444444"/>
          <w:kern w:val="0"/>
          <w:sz w:val="32"/>
          <w:szCs w:val="32"/>
        </w:rPr>
        <w:t>三、建立“双随机”抽查机制</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对“双随机”抽查做到全程留痕，实现责任可追溯。对社会关注度高的，要重点抽查。</w:t>
      </w:r>
    </w:p>
    <w:p w:rsidR="00975308" w:rsidRPr="00DF1E70" w:rsidRDefault="00975308" w:rsidP="00975308">
      <w:pPr>
        <w:widowControl/>
        <w:spacing w:line="600" w:lineRule="exact"/>
        <w:ind w:firstLineChars="200" w:firstLine="640"/>
        <w:jc w:val="left"/>
        <w:rPr>
          <w:rFonts w:ascii="仿宋" w:eastAsia="仿宋" w:hAnsi="仿宋" w:cs="黑体"/>
          <w:color w:val="444444"/>
          <w:kern w:val="0"/>
          <w:sz w:val="32"/>
          <w:szCs w:val="32"/>
        </w:rPr>
      </w:pPr>
      <w:r w:rsidRPr="00DF1E70">
        <w:rPr>
          <w:rFonts w:ascii="仿宋" w:eastAsia="仿宋" w:hAnsi="仿宋" w:cs="黑体" w:hint="eastAsia"/>
          <w:color w:val="444444"/>
          <w:kern w:val="0"/>
          <w:sz w:val="32"/>
          <w:szCs w:val="32"/>
        </w:rPr>
        <w:t>四、抽查结果处理</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对抽查中发现的违法违规行为，分别对相对人员进行以下处置：责令改正，依法予以处罚；对情节严重的行政机关有关责任人给予行政纪律处分或依法追究法律责任。</w:t>
      </w:r>
    </w:p>
    <w:p w:rsidR="00975308" w:rsidRPr="00DF1E70" w:rsidRDefault="00975308" w:rsidP="00975308">
      <w:pPr>
        <w:widowControl/>
        <w:spacing w:line="600" w:lineRule="exact"/>
        <w:ind w:firstLineChars="200" w:firstLine="640"/>
        <w:jc w:val="left"/>
        <w:rPr>
          <w:rFonts w:ascii="仿宋" w:eastAsia="仿宋" w:hAnsi="仿宋" w:cs="黑体"/>
          <w:color w:val="444444"/>
          <w:kern w:val="0"/>
          <w:sz w:val="32"/>
          <w:szCs w:val="32"/>
        </w:rPr>
      </w:pPr>
      <w:r w:rsidRPr="00DF1E70">
        <w:rPr>
          <w:rFonts w:ascii="仿宋" w:eastAsia="仿宋" w:hAnsi="仿宋" w:cs="黑体" w:hint="eastAsia"/>
          <w:color w:val="444444"/>
          <w:kern w:val="0"/>
          <w:sz w:val="32"/>
          <w:szCs w:val="32"/>
        </w:rPr>
        <w:t>五、保障措施</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一）加强组织领导。建立强化事中事后监管工作领导小组，由局主要领导任组长，分管领导任副组长，相关业务科室主要人员为成员。强化事中事后监管工作的组织领导和统筹协调，切实把加强事中事后监管摆上重要议事日程，制定有针对性的具体实施计划，采取切实有效措施，不断增强工作的积极性、主动性和创造性，推动监管工作逐步取得实效。</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二）落实责任分工。重点根据我局责任清单中规定的事中事后监管事项和制度，明确牵头责任科室和配合科室，制定工作计划，细化工作措施，落实经办人员，进一步发挥整体合力，切实有效保障事中事后监管各项工作顺利实施。</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lastRenderedPageBreak/>
        <w:t>（三）强化协调配合。重点明确事中事后监管事项的操作细则，制定统一规范的监管审批流程，建立信息互通机制，及时将我局在随机抽查事中事后监管过程中形成的登记、执法、奖惩和服务等信息数据录入到监管工作平台，为后续事中事后监管提供信息服务。积极创新工作方式方法，建立健全跨部门协调机制，确保顺利有效开展监管。</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四）严格抽查纪律。在对被抽取的市场主体实施检查时，不得妨碍市场主体正常的生产经营活动，不得索取或收受市场主体的财物，不得谋取其他利益。对抽查监管工作中失职渎职违纪的，依纪严肃处理；对情节严重涉嫌违法犯罪的移送司法机关依法处理。</w:t>
      </w: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p>
    <w:p w:rsidR="00975308" w:rsidRPr="00DF1E70" w:rsidRDefault="00975308" w:rsidP="00975308">
      <w:pPr>
        <w:widowControl/>
        <w:spacing w:line="600" w:lineRule="exact"/>
        <w:ind w:firstLineChars="200" w:firstLine="640"/>
        <w:jc w:val="left"/>
        <w:rPr>
          <w:rFonts w:ascii="仿宋" w:eastAsia="仿宋" w:hAnsi="仿宋" w:cs="仿宋_GB2312"/>
          <w:color w:val="444444"/>
          <w:kern w:val="0"/>
          <w:sz w:val="32"/>
          <w:szCs w:val="32"/>
        </w:rPr>
      </w:pPr>
    </w:p>
    <w:p w:rsidR="00975308" w:rsidRPr="00DF1E70" w:rsidRDefault="00975308" w:rsidP="00975308">
      <w:pPr>
        <w:widowControl/>
        <w:spacing w:line="600" w:lineRule="exact"/>
        <w:ind w:firstLineChars="1500" w:firstLine="4800"/>
        <w:jc w:val="left"/>
        <w:rPr>
          <w:rFonts w:ascii="仿宋" w:eastAsia="仿宋" w:hAnsi="仿宋" w:cs="仿宋_GB2312"/>
          <w:color w:val="444444"/>
          <w:kern w:val="0"/>
          <w:sz w:val="32"/>
          <w:szCs w:val="32"/>
        </w:rPr>
      </w:pPr>
      <w:r w:rsidRPr="00DF1E70">
        <w:rPr>
          <w:rFonts w:ascii="仿宋" w:eastAsia="仿宋" w:hAnsi="仿宋" w:cs="仿宋_GB2312" w:hint="eastAsia"/>
          <w:color w:val="444444"/>
          <w:kern w:val="0"/>
          <w:sz w:val="32"/>
          <w:szCs w:val="32"/>
        </w:rPr>
        <w:t>隆尧县发展和改革局</w:t>
      </w:r>
    </w:p>
    <w:p w:rsidR="00975308" w:rsidRPr="00DF1E70" w:rsidRDefault="002A3FC7" w:rsidP="00A813B7">
      <w:pPr>
        <w:widowControl/>
        <w:spacing w:line="600" w:lineRule="exact"/>
        <w:ind w:firstLineChars="1550" w:firstLine="4960"/>
        <w:jc w:val="left"/>
        <w:rPr>
          <w:rFonts w:ascii="仿宋" w:eastAsia="仿宋" w:hAnsi="仿宋" w:cs="仿宋_GB2312"/>
          <w:color w:val="444444"/>
          <w:kern w:val="0"/>
          <w:sz w:val="32"/>
          <w:szCs w:val="32"/>
        </w:rPr>
      </w:pPr>
      <w:r>
        <w:rPr>
          <w:rFonts w:ascii="仿宋" w:eastAsia="仿宋" w:hAnsi="仿宋" w:cs="仿宋_GB2312" w:hint="eastAsia"/>
          <w:color w:val="444444"/>
          <w:kern w:val="0"/>
          <w:sz w:val="32"/>
          <w:szCs w:val="32"/>
        </w:rPr>
        <w:t>2022</w:t>
      </w:r>
      <w:r w:rsidR="00975308" w:rsidRPr="00DF1E70">
        <w:rPr>
          <w:rFonts w:ascii="仿宋" w:eastAsia="仿宋" w:hAnsi="仿宋" w:cs="仿宋_GB2312" w:hint="eastAsia"/>
          <w:color w:val="444444"/>
          <w:kern w:val="0"/>
          <w:sz w:val="32"/>
          <w:szCs w:val="32"/>
        </w:rPr>
        <w:t>年</w:t>
      </w:r>
      <w:r>
        <w:rPr>
          <w:rFonts w:ascii="仿宋" w:eastAsia="仿宋" w:hAnsi="仿宋" w:cs="仿宋_GB2312" w:hint="eastAsia"/>
          <w:color w:val="444444"/>
          <w:kern w:val="0"/>
          <w:sz w:val="32"/>
          <w:szCs w:val="32"/>
        </w:rPr>
        <w:t>1</w:t>
      </w:r>
      <w:r w:rsidR="00975308" w:rsidRPr="00DF1E70">
        <w:rPr>
          <w:rFonts w:ascii="仿宋" w:eastAsia="仿宋" w:hAnsi="仿宋" w:cs="仿宋_GB2312" w:hint="eastAsia"/>
          <w:color w:val="444444"/>
          <w:kern w:val="0"/>
          <w:sz w:val="32"/>
          <w:szCs w:val="32"/>
        </w:rPr>
        <w:t>月</w:t>
      </w:r>
      <w:r>
        <w:rPr>
          <w:rFonts w:ascii="仿宋" w:eastAsia="仿宋" w:hAnsi="仿宋" w:cs="仿宋_GB2312" w:hint="eastAsia"/>
          <w:color w:val="444444"/>
          <w:kern w:val="0"/>
          <w:sz w:val="32"/>
          <w:szCs w:val="32"/>
        </w:rPr>
        <w:t>28</w:t>
      </w:r>
      <w:r w:rsidR="00975308" w:rsidRPr="00DF1E70">
        <w:rPr>
          <w:rFonts w:ascii="仿宋" w:eastAsia="仿宋" w:hAnsi="仿宋" w:cs="仿宋_GB2312" w:hint="eastAsia"/>
          <w:color w:val="444444"/>
          <w:kern w:val="0"/>
          <w:sz w:val="32"/>
          <w:szCs w:val="32"/>
        </w:rPr>
        <w:t>日</w:t>
      </w:r>
    </w:p>
    <w:p w:rsidR="0050150C" w:rsidRDefault="0050150C"/>
    <w:sectPr w:rsidR="0050150C" w:rsidSect="0050150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1DE1" w:rsidRDefault="00BD1DE1" w:rsidP="00A813B7">
      <w:r>
        <w:separator/>
      </w:r>
    </w:p>
  </w:endnote>
  <w:endnote w:type="continuationSeparator" w:id="0">
    <w:p w:rsidR="00BD1DE1" w:rsidRDefault="00BD1DE1" w:rsidP="00A813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宋体-PUA">
    <w:altName w:val="微软雅黑"/>
    <w:charset w:val="86"/>
    <w:family w:val="auto"/>
    <w:pitch w:val="default"/>
    <w:sig w:usb0="00000000" w:usb1="1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1DE1" w:rsidRDefault="00BD1DE1" w:rsidP="00A813B7">
      <w:r>
        <w:separator/>
      </w:r>
    </w:p>
  </w:footnote>
  <w:footnote w:type="continuationSeparator" w:id="0">
    <w:p w:rsidR="00BD1DE1" w:rsidRDefault="00BD1DE1" w:rsidP="00A813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E5FBA8"/>
    <w:multiLevelType w:val="singleLevel"/>
    <w:tmpl w:val="53E5FBA8"/>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024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75308"/>
    <w:rsid w:val="00174069"/>
    <w:rsid w:val="00294F0A"/>
    <w:rsid w:val="002A3FC7"/>
    <w:rsid w:val="00357133"/>
    <w:rsid w:val="0050150C"/>
    <w:rsid w:val="00927DA3"/>
    <w:rsid w:val="00975308"/>
    <w:rsid w:val="00A12F3C"/>
    <w:rsid w:val="00A813B7"/>
    <w:rsid w:val="00B80665"/>
    <w:rsid w:val="00BD1D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530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813B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813B7"/>
    <w:rPr>
      <w:rFonts w:ascii="Calibri" w:eastAsia="宋体" w:hAnsi="Calibri" w:cs="Times New Roman"/>
      <w:sz w:val="18"/>
      <w:szCs w:val="18"/>
    </w:rPr>
  </w:style>
  <w:style w:type="paragraph" w:styleId="a4">
    <w:name w:val="footer"/>
    <w:basedOn w:val="a"/>
    <w:link w:val="Char0"/>
    <w:uiPriority w:val="99"/>
    <w:semiHidden/>
    <w:unhideWhenUsed/>
    <w:rsid w:val="00A813B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813B7"/>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A3F9828-95A4-408B-B04A-129B28637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170</Words>
  <Characters>972</Characters>
  <Application>Microsoft Office Word</Application>
  <DocSecurity>0</DocSecurity>
  <Lines>8</Lines>
  <Paragraphs>2</Paragraphs>
  <ScaleCrop>false</ScaleCrop>
  <Company/>
  <LinksUpToDate>false</LinksUpToDate>
  <CharactersWithSpaces>1140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dc:creator>
  <cp:lastModifiedBy>Administrato</cp:lastModifiedBy>
  <cp:revision>3</cp:revision>
  <dcterms:created xsi:type="dcterms:W3CDTF">2022-01-29T01:27:00Z</dcterms:created>
  <dcterms:modified xsi:type="dcterms:W3CDTF">2022-01-29T01:28:00Z</dcterms:modified>
</cp:coreProperties>
</file>