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600" w:lineRule="exact"/>
        <w:jc w:val="center"/>
        <w:textAlignment w:val="auto"/>
        <w:rPr>
          <w:rFonts w:hint="eastAsia" w:ascii="方正小标宋简体" w:hAnsi="方正小标宋简体" w:eastAsia="方正小标宋简体" w:cs="方正小标宋简体"/>
          <w:sz w:val="44"/>
          <w:szCs w:val="44"/>
          <w:lang w:val="en-US" w:eastAsia="zh-CN"/>
        </w:rPr>
      </w:pPr>
    </w:p>
    <w:p>
      <w:pPr>
        <w:keepNext w:val="0"/>
        <w:keepLines w:val="0"/>
        <w:pageBreakBefore w:val="0"/>
        <w:widowControl w:val="0"/>
        <w:kinsoku/>
        <w:wordWrap/>
        <w:overflowPunct/>
        <w:topLinePunct w:val="0"/>
        <w:autoSpaceDE/>
        <w:autoSpaceDN/>
        <w:bidi w:val="0"/>
        <w:adjustRightInd w:val="0"/>
        <w:snapToGrid w:val="0"/>
        <w:spacing w:line="60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关于隆尧镇官庄等4个村《城中村改造项目征收补偿安置方案》的起草说明</w:t>
      </w:r>
    </w:p>
    <w:p>
      <w:pPr>
        <w:keepNext w:val="0"/>
        <w:keepLines w:val="0"/>
        <w:pageBreakBefore w:val="0"/>
        <w:widowControl w:val="0"/>
        <w:kinsoku/>
        <w:wordWrap/>
        <w:overflowPunct/>
        <w:topLinePunct w:val="0"/>
        <w:autoSpaceDE/>
        <w:bidi w:val="0"/>
        <w:adjustRightInd w:val="0"/>
        <w:snapToGrid w:val="0"/>
        <w:spacing w:line="600" w:lineRule="exact"/>
        <w:ind w:left="0" w:leftChars="0" w:firstLine="420"/>
        <w:jc w:val="both"/>
        <w:rPr>
          <w:rFonts w:hint="eastAsia" w:ascii="方正小标宋简体" w:hAnsi="方正小标宋简体" w:eastAsia="方正小标宋简体" w:cs="方正小标宋简体"/>
          <w:sz w:val="44"/>
          <w:szCs w:val="44"/>
          <w:lang w:val="en-US" w:eastAsia="zh-CN"/>
        </w:rPr>
      </w:pPr>
    </w:p>
    <w:p>
      <w:pPr>
        <w:keepNext w:val="0"/>
        <w:keepLines w:val="0"/>
        <w:pageBreakBefore w:val="0"/>
        <w:widowControl w:val="0"/>
        <w:kinsoku/>
        <w:wordWrap/>
        <w:overflowPunct/>
        <w:topLinePunct w:val="0"/>
        <w:autoSpaceDE/>
        <w:bidi w:val="0"/>
        <w:adjustRightInd w:val="0"/>
        <w:snapToGrid w:val="0"/>
        <w:spacing w:line="600" w:lineRule="exact"/>
        <w:ind w:left="0" w:leftChars="0" w:right="0" w:rightChars="0" w:firstLine="640" w:firstLineChars="200"/>
        <w:jc w:val="both"/>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一、起草背景</w:t>
      </w:r>
    </w:p>
    <w:p>
      <w:pPr>
        <w:keepNext w:val="0"/>
        <w:keepLines w:val="0"/>
        <w:pageBreakBefore w:val="0"/>
        <w:widowControl w:val="0"/>
        <w:kinsoku/>
        <w:wordWrap/>
        <w:overflowPunct/>
        <w:topLinePunct w:val="0"/>
        <w:autoSpaceDE/>
        <w:bidi w:val="0"/>
        <w:adjustRightInd w:val="0"/>
        <w:snapToGrid w:val="0"/>
        <w:spacing w:line="600" w:lineRule="exact"/>
        <w:ind w:left="0" w:leftChars="0" w:right="0" w:rightChars="0" w:firstLine="640" w:firstLineChars="200"/>
        <w:jc w:val="both"/>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依据《河北省城中村改造工作领导小组办公室关于加大城中村改造推进力度的函》和邢台市“三改一拆”专项行动领导小组办公室关于印发《邢台市城中村（棚户区）改造征拆百日攻坚行动实施方案》的通知等文件精神，为推进城中村改造工作快速推进、落到实处，结合隆尧县实际，县住房和城乡建设局起草了我县官庄、南甫、东河、韩庄4个村的《城中村改造征收补偿安置方案》（以下简称《征收补偿方案》）。</w:t>
      </w:r>
    </w:p>
    <w:p>
      <w:pPr>
        <w:keepNext w:val="0"/>
        <w:keepLines w:val="0"/>
        <w:pageBreakBefore w:val="0"/>
        <w:widowControl w:val="0"/>
        <w:numPr>
          <w:ilvl w:val="0"/>
          <w:numId w:val="0"/>
        </w:numPr>
        <w:kinsoku/>
        <w:wordWrap/>
        <w:overflowPunct/>
        <w:topLinePunct w:val="0"/>
        <w:autoSpaceDE/>
        <w:bidi w:val="0"/>
        <w:adjustRightInd w:val="0"/>
        <w:snapToGrid w:val="0"/>
        <w:spacing w:line="600" w:lineRule="exact"/>
        <w:ind w:left="0" w:leftChars="0" w:right="0" w:rightChars="0" w:firstLine="640" w:firstLineChars="200"/>
        <w:jc w:val="both"/>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二、具体内容</w:t>
      </w:r>
    </w:p>
    <w:p>
      <w:pPr>
        <w:keepNext w:val="0"/>
        <w:keepLines w:val="0"/>
        <w:pageBreakBefore w:val="0"/>
        <w:widowControl w:val="0"/>
        <w:numPr>
          <w:ilvl w:val="0"/>
          <w:numId w:val="0"/>
        </w:numPr>
        <w:kinsoku/>
        <w:wordWrap/>
        <w:overflowPunct/>
        <w:topLinePunct w:val="0"/>
        <w:autoSpaceDE/>
        <w:bidi w:val="0"/>
        <w:adjustRightInd w:val="0"/>
        <w:snapToGrid w:val="0"/>
        <w:spacing w:line="600" w:lineRule="exact"/>
        <w:ind w:left="0" w:leftChars="0" w:right="0" w:righ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征收补偿方案》共分征收范围、征收主体及实施单位、补偿协议签订时间、土地和房屋权属面积的认定、征收补偿方式、评估机构的确定、产权置换和货币补偿标准、奖励标准和配套优惠政策、协议签订的相关规定九个部分。主要内容包括：</w:t>
      </w:r>
    </w:p>
    <w:p>
      <w:pPr>
        <w:keepNext w:val="0"/>
        <w:keepLines w:val="0"/>
        <w:pageBreakBefore w:val="0"/>
        <w:widowControl w:val="0"/>
        <w:numPr>
          <w:ilvl w:val="0"/>
          <w:numId w:val="1"/>
        </w:numPr>
        <w:kinsoku/>
        <w:wordWrap/>
        <w:overflowPunct/>
        <w:topLinePunct w:val="0"/>
        <w:autoSpaceDE/>
        <w:bidi w:val="0"/>
        <w:adjustRightInd w:val="0"/>
        <w:snapToGrid w:val="0"/>
        <w:spacing w:line="600" w:lineRule="exact"/>
        <w:ind w:left="0" w:leftChars="0" w:right="0" w:rightChars="0" w:firstLine="640" w:firstLineChars="200"/>
        <w:jc w:val="both"/>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征收范围。</w:t>
      </w:r>
      <w:r>
        <w:rPr>
          <w:rFonts w:hint="eastAsia" w:ascii="仿宋_GB2312" w:hAnsi="仿宋_GB2312" w:eastAsia="仿宋_GB2312" w:cs="仿宋_GB2312"/>
          <w:sz w:val="32"/>
          <w:szCs w:val="32"/>
          <w:lang w:val="en-US" w:eastAsia="zh-CN"/>
        </w:rPr>
        <w:t>主要明确官庄等4个城中村改造项目的四至范围。</w:t>
      </w:r>
    </w:p>
    <w:p>
      <w:pPr>
        <w:keepNext w:val="0"/>
        <w:keepLines w:val="0"/>
        <w:pageBreakBefore w:val="0"/>
        <w:widowControl w:val="0"/>
        <w:numPr>
          <w:ilvl w:val="0"/>
          <w:numId w:val="1"/>
        </w:numPr>
        <w:kinsoku/>
        <w:wordWrap/>
        <w:overflowPunct/>
        <w:topLinePunct w:val="0"/>
        <w:autoSpaceDE/>
        <w:bidi w:val="0"/>
        <w:adjustRightInd w:val="0"/>
        <w:snapToGrid w:val="0"/>
        <w:spacing w:line="600" w:lineRule="exact"/>
        <w:ind w:left="0" w:leftChars="0" w:right="0" w:rightChars="0" w:firstLine="640" w:firstLineChars="200"/>
        <w:jc w:val="both"/>
        <w:rPr>
          <w:rFonts w:hint="default"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征收主体及实施单位。</w:t>
      </w:r>
      <w:r>
        <w:rPr>
          <w:rFonts w:hint="eastAsia" w:ascii="仿宋_GB2312" w:hAnsi="仿宋_GB2312" w:eastAsia="仿宋_GB2312" w:cs="仿宋_GB2312"/>
          <w:sz w:val="32"/>
          <w:szCs w:val="32"/>
          <w:lang w:val="en-US" w:eastAsia="zh-CN"/>
        </w:rPr>
        <w:t>明确了县人民政府是城中村改造的征收主体。县住建局负责组织实施国有土地上房屋征收工作；县自然资源和规划局</w:t>
      </w:r>
      <w:r>
        <w:rPr>
          <w:rFonts w:hint="eastAsia" w:ascii="Times New Roman" w:hAnsi="Times New Roman" w:eastAsia="仿宋_GB2312" w:cs="Times New Roman"/>
          <w:sz w:val="32"/>
          <w:szCs w:val="32"/>
          <w:lang w:val="en-US" w:eastAsia="zh-CN"/>
        </w:rPr>
        <w:t>为集体土地征收部门；</w:t>
      </w:r>
      <w:r>
        <w:rPr>
          <w:rFonts w:hint="default" w:ascii="Times New Roman" w:hAnsi="Times New Roman" w:eastAsia="仿宋_GB2312" w:cs="Times New Roman"/>
          <w:sz w:val="32"/>
          <w:szCs w:val="32"/>
        </w:rPr>
        <w:t>隆尧镇人民政府</w:t>
      </w:r>
      <w:r>
        <w:rPr>
          <w:rFonts w:hint="eastAsia" w:ascii="Times New Roman" w:hAnsi="Times New Roman" w:eastAsia="仿宋_GB2312" w:cs="Times New Roman"/>
          <w:sz w:val="32"/>
          <w:szCs w:val="32"/>
          <w:lang w:val="en-US" w:eastAsia="zh-CN"/>
        </w:rPr>
        <w:t>负责组织实施</w:t>
      </w:r>
      <w:r>
        <w:rPr>
          <w:rFonts w:hint="eastAsia" w:ascii="Times New Roman" w:hAnsi="Times New Roman" w:eastAsia="仿宋_GB2312" w:cs="Times New Roman"/>
          <w:sz w:val="32"/>
          <w:szCs w:val="32"/>
          <w:highlight w:val="none"/>
          <w:lang w:val="en-US" w:eastAsia="zh-CN"/>
        </w:rPr>
        <w:t>集体土地上的房屋与集体土地征收补偿工作。</w:t>
      </w:r>
    </w:p>
    <w:p>
      <w:pPr>
        <w:keepNext w:val="0"/>
        <w:keepLines w:val="0"/>
        <w:pageBreakBefore w:val="0"/>
        <w:widowControl w:val="0"/>
        <w:numPr>
          <w:ilvl w:val="0"/>
          <w:numId w:val="1"/>
        </w:numPr>
        <w:kinsoku/>
        <w:wordWrap/>
        <w:overflowPunct/>
        <w:topLinePunct w:val="0"/>
        <w:autoSpaceDE/>
        <w:bidi w:val="0"/>
        <w:adjustRightInd w:val="0"/>
        <w:snapToGrid w:val="0"/>
        <w:spacing w:line="600" w:lineRule="exact"/>
        <w:ind w:left="0" w:leftChars="0" w:right="0" w:rightChars="0" w:firstLine="640" w:firstLineChars="200"/>
        <w:jc w:val="both"/>
        <w:rPr>
          <w:rFonts w:hint="default"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补偿协议签订时间。</w:t>
      </w:r>
      <w:r>
        <w:rPr>
          <w:rFonts w:hint="eastAsia" w:ascii="仿宋_GB2312" w:hAnsi="仿宋_GB2312" w:eastAsia="仿宋_GB2312" w:cs="仿宋_GB2312"/>
          <w:sz w:val="32"/>
          <w:szCs w:val="32"/>
          <w:lang w:val="en-US" w:eastAsia="zh-CN"/>
        </w:rPr>
        <w:t>此项为</w:t>
      </w:r>
      <w:r>
        <w:rPr>
          <w:rFonts w:hint="default" w:ascii="Times New Roman" w:hAnsi="Times New Roman" w:eastAsia="仿宋_GB2312" w:cs="Times New Roman"/>
          <w:sz w:val="32"/>
          <w:szCs w:val="32"/>
        </w:rPr>
        <w:t>发布《房屋征收决定公告》之日起</w:t>
      </w:r>
      <w:r>
        <w:rPr>
          <w:rFonts w:hint="default" w:ascii="Times New Roman" w:hAnsi="Times New Roman" w:eastAsia="仿宋_GB2312" w:cs="Times New Roman"/>
          <w:sz w:val="32"/>
          <w:szCs w:val="32"/>
          <w:highlight w:val="none"/>
          <w:lang w:val="en-US" w:eastAsia="zh-CN"/>
        </w:rPr>
        <w:t>30</w:t>
      </w:r>
      <w:r>
        <w:rPr>
          <w:rFonts w:hint="default" w:ascii="Times New Roman" w:hAnsi="Times New Roman" w:eastAsia="仿宋_GB2312" w:cs="Times New Roman"/>
          <w:sz w:val="32"/>
          <w:szCs w:val="32"/>
          <w:highlight w:val="none"/>
        </w:rPr>
        <w:t>日</w:t>
      </w:r>
      <w:r>
        <w:rPr>
          <w:rFonts w:hint="default" w:ascii="Times New Roman" w:hAnsi="Times New Roman" w:eastAsia="仿宋_GB2312" w:cs="Times New Roman"/>
          <w:sz w:val="32"/>
          <w:szCs w:val="32"/>
        </w:rPr>
        <w:t>内完成</w:t>
      </w:r>
      <w:r>
        <w:rPr>
          <w:rFonts w:hint="eastAsia" w:ascii="Times New Roman" w:hAnsi="Times New Roman" w:eastAsia="仿宋_GB2312" w:cs="Times New Roman"/>
          <w:sz w:val="32"/>
          <w:szCs w:val="32"/>
          <w:lang w:val="en-US" w:eastAsia="zh-CN"/>
        </w:rPr>
        <w:t>协议签订和</w:t>
      </w:r>
      <w:r>
        <w:rPr>
          <w:rFonts w:hint="default" w:ascii="Times New Roman" w:hAnsi="Times New Roman" w:eastAsia="仿宋_GB2312" w:cs="Times New Roman"/>
          <w:sz w:val="32"/>
          <w:szCs w:val="32"/>
        </w:rPr>
        <w:t>征收。</w:t>
      </w:r>
    </w:p>
    <w:p>
      <w:pPr>
        <w:keepNext w:val="0"/>
        <w:keepLines w:val="0"/>
        <w:pageBreakBefore w:val="0"/>
        <w:widowControl w:val="0"/>
        <w:numPr>
          <w:ilvl w:val="0"/>
          <w:numId w:val="1"/>
        </w:numPr>
        <w:kinsoku/>
        <w:wordWrap/>
        <w:overflowPunct/>
        <w:topLinePunct w:val="0"/>
        <w:autoSpaceDE/>
        <w:bidi w:val="0"/>
        <w:adjustRightInd w:val="0"/>
        <w:snapToGrid w:val="0"/>
        <w:spacing w:line="600" w:lineRule="exact"/>
        <w:ind w:left="0" w:leftChars="0" w:right="0" w:rightChars="0" w:firstLine="640" w:firstLineChars="200"/>
        <w:jc w:val="both"/>
        <w:rPr>
          <w:rFonts w:hint="default"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土地和房屋权属面积的认定。</w:t>
      </w:r>
      <w:r>
        <w:rPr>
          <w:rFonts w:hint="eastAsia" w:ascii="仿宋_GB2312" w:hAnsi="仿宋_GB2312" w:eastAsia="仿宋_GB2312" w:cs="仿宋_GB2312"/>
          <w:sz w:val="32"/>
          <w:szCs w:val="32"/>
          <w:lang w:val="en-US" w:eastAsia="zh-CN"/>
        </w:rPr>
        <w:t>明确了宅基地、国有建设用地权属和面积的认定标准及商业用房认定标准。</w:t>
      </w:r>
    </w:p>
    <w:p>
      <w:pPr>
        <w:keepNext w:val="0"/>
        <w:keepLines w:val="0"/>
        <w:pageBreakBefore w:val="0"/>
        <w:widowControl w:val="0"/>
        <w:numPr>
          <w:ilvl w:val="0"/>
          <w:numId w:val="1"/>
        </w:numPr>
        <w:kinsoku/>
        <w:wordWrap/>
        <w:overflowPunct/>
        <w:topLinePunct w:val="0"/>
        <w:autoSpaceDE/>
        <w:bidi w:val="0"/>
        <w:adjustRightInd w:val="0"/>
        <w:snapToGrid w:val="0"/>
        <w:spacing w:line="600" w:lineRule="exact"/>
        <w:ind w:left="0" w:leftChars="0" w:right="0" w:rightChars="0" w:firstLine="640" w:firstLineChars="200"/>
        <w:jc w:val="both"/>
        <w:rPr>
          <w:rFonts w:hint="default"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征收补偿方式。</w:t>
      </w:r>
      <w:r>
        <w:rPr>
          <w:rFonts w:hint="eastAsia" w:ascii="仿宋_GB2312" w:hAnsi="仿宋_GB2312" w:eastAsia="仿宋_GB2312" w:cs="仿宋_GB2312"/>
          <w:sz w:val="32"/>
          <w:szCs w:val="32"/>
          <w:lang w:val="en-US" w:eastAsia="zh-CN"/>
        </w:rPr>
        <w:t>城中村改造征收补偿提供产权置换和货币补偿两种补偿方案供被征收人选择。</w:t>
      </w:r>
    </w:p>
    <w:p>
      <w:pPr>
        <w:keepNext w:val="0"/>
        <w:keepLines w:val="0"/>
        <w:pageBreakBefore w:val="0"/>
        <w:widowControl w:val="0"/>
        <w:numPr>
          <w:ilvl w:val="0"/>
          <w:numId w:val="1"/>
        </w:numPr>
        <w:kinsoku/>
        <w:wordWrap/>
        <w:overflowPunct/>
        <w:topLinePunct w:val="0"/>
        <w:autoSpaceDE/>
        <w:bidi w:val="0"/>
        <w:adjustRightInd w:val="0"/>
        <w:snapToGrid w:val="0"/>
        <w:spacing w:line="600" w:lineRule="exact"/>
        <w:ind w:left="0" w:leftChars="0" w:right="0" w:rightChars="0" w:firstLine="640" w:firstLineChars="200"/>
        <w:jc w:val="both"/>
        <w:rPr>
          <w:rFonts w:hint="default"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评估机构的确定。</w:t>
      </w:r>
      <w:r>
        <w:rPr>
          <w:rFonts w:hint="eastAsia" w:ascii="仿宋_GB2312" w:hAnsi="仿宋_GB2312" w:eastAsia="仿宋_GB2312" w:cs="仿宋_GB2312"/>
          <w:sz w:val="32"/>
          <w:szCs w:val="32"/>
          <w:lang w:val="en-US" w:eastAsia="zh-CN"/>
        </w:rPr>
        <w:t>住建部门负责提供有资质的第三方评估机构库供村集体选择。</w:t>
      </w:r>
    </w:p>
    <w:p>
      <w:pPr>
        <w:keepNext w:val="0"/>
        <w:keepLines w:val="0"/>
        <w:pageBreakBefore w:val="0"/>
        <w:widowControl w:val="0"/>
        <w:numPr>
          <w:ilvl w:val="0"/>
          <w:numId w:val="1"/>
        </w:numPr>
        <w:kinsoku/>
        <w:wordWrap/>
        <w:overflowPunct/>
        <w:topLinePunct w:val="0"/>
        <w:autoSpaceDE/>
        <w:bidi w:val="0"/>
        <w:adjustRightInd w:val="0"/>
        <w:snapToGrid w:val="0"/>
        <w:spacing w:line="600" w:lineRule="exact"/>
        <w:ind w:left="0" w:leftChars="0" w:right="0" w:rightChars="0" w:firstLine="640" w:firstLineChars="200"/>
        <w:jc w:val="both"/>
        <w:rPr>
          <w:rFonts w:hint="default"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产权置换和货币补偿标准</w:t>
      </w:r>
      <w:r>
        <w:rPr>
          <w:rFonts w:hint="eastAsia" w:ascii="仿宋_GB2312" w:hAnsi="仿宋_GB2312" w:eastAsia="仿宋_GB2312" w:cs="仿宋_GB2312"/>
          <w:sz w:val="32"/>
          <w:szCs w:val="32"/>
          <w:lang w:val="en-US" w:eastAsia="zh-CN"/>
        </w:rPr>
        <w:t>。城中村改造征收补偿产权置换共分为集体土地、国有划拨建设用地和国有出让建设用地三部分。补偿方案分为三种供被征收人选择，分别是房地分离、房地一体、空闲住宅用地。补偿标准为：集体土地和国有划拨建设用地①房地分离：按土地证载面积或认定面积1：0.8置换回迁安置面积，地上附着物据实评估给予补偿；②房地一体：按土地证载面积或认定面积1：1置换回迁安置面积，地上一层建筑物及附属物不予补偿。地上二层（含二层）建筑物据实评估后给予货币补偿；③空闲住宅用地：按土地证载面积或认定面积1：0.8置换回迁安置面积。国有出让用地补偿同比集体土地和国有划拨建设用地补偿的3种方案各提高10个百分点。</w:t>
      </w:r>
    </w:p>
    <w:p>
      <w:pPr>
        <w:keepNext w:val="0"/>
        <w:keepLines w:val="0"/>
        <w:pageBreakBefore w:val="0"/>
        <w:widowControl w:val="0"/>
        <w:numPr>
          <w:ilvl w:val="0"/>
          <w:numId w:val="1"/>
        </w:numPr>
        <w:kinsoku/>
        <w:wordWrap/>
        <w:overflowPunct/>
        <w:topLinePunct w:val="0"/>
        <w:autoSpaceDE/>
        <w:bidi w:val="0"/>
        <w:adjustRightInd w:val="0"/>
        <w:snapToGrid w:val="0"/>
        <w:spacing w:line="600" w:lineRule="exact"/>
        <w:ind w:left="0" w:leftChars="0" w:right="0" w:rightChars="0" w:firstLine="640" w:firstLineChars="200"/>
        <w:jc w:val="both"/>
        <w:rPr>
          <w:rFonts w:hint="default"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奖励标准和配套优惠政策。</w:t>
      </w:r>
      <w:r>
        <w:rPr>
          <w:rFonts w:hint="eastAsia" w:ascii="仿宋_GB2312" w:hAnsi="仿宋_GB2312" w:eastAsia="仿宋_GB2312" w:cs="仿宋_GB2312"/>
          <w:sz w:val="32"/>
          <w:szCs w:val="32"/>
          <w:lang w:val="en-US" w:eastAsia="zh-CN"/>
        </w:rPr>
        <w:t>此项规定了限期面积奖励、选房顺序、车位和储藏间价格、老年人优惠办法、调换房屋扩（减）套优惠办法、搬家费和过渡费标准。</w:t>
      </w:r>
    </w:p>
    <w:p>
      <w:pPr>
        <w:keepNext w:val="0"/>
        <w:keepLines w:val="0"/>
        <w:pageBreakBefore w:val="0"/>
        <w:widowControl w:val="0"/>
        <w:numPr>
          <w:ilvl w:val="0"/>
          <w:numId w:val="1"/>
        </w:numPr>
        <w:kinsoku/>
        <w:wordWrap/>
        <w:overflowPunct/>
        <w:topLinePunct w:val="0"/>
        <w:autoSpaceDE/>
        <w:bidi w:val="0"/>
        <w:adjustRightInd w:val="0"/>
        <w:snapToGrid w:val="0"/>
        <w:spacing w:line="600" w:lineRule="exact"/>
        <w:ind w:left="0" w:leftChars="0" w:right="0" w:rightChars="0" w:firstLine="640" w:firstLineChars="200"/>
        <w:jc w:val="both"/>
        <w:rPr>
          <w:rFonts w:hint="default"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协议签订的相关规定。</w:t>
      </w:r>
      <w:r>
        <w:rPr>
          <w:rFonts w:hint="eastAsia" w:ascii="仿宋_GB2312" w:hAnsi="仿宋_GB2312" w:eastAsia="仿宋_GB2312" w:cs="仿宋_GB2312"/>
          <w:sz w:val="32"/>
          <w:szCs w:val="32"/>
          <w:lang w:val="en-US" w:eastAsia="zh-CN"/>
        </w:rPr>
        <w:t>此项规定了被征收人签订协议需提供的资料和签订协议后应履行的相应职责。</w:t>
      </w:r>
    </w:p>
    <w:p>
      <w:pPr>
        <w:keepNext w:val="0"/>
        <w:keepLines w:val="0"/>
        <w:pageBreakBefore w:val="0"/>
        <w:widowControl w:val="0"/>
        <w:numPr>
          <w:ilvl w:val="0"/>
          <w:numId w:val="0"/>
        </w:numPr>
        <w:kinsoku/>
        <w:wordWrap/>
        <w:overflowPunct/>
        <w:topLinePunct w:val="0"/>
        <w:autoSpaceDE/>
        <w:bidi w:val="0"/>
        <w:adjustRightInd w:val="0"/>
        <w:snapToGrid w:val="0"/>
        <w:spacing w:line="600" w:lineRule="exact"/>
        <w:ind w:left="0" w:leftChars="0" w:firstLine="640" w:firstLineChars="200"/>
        <w:jc w:val="both"/>
        <w:rPr>
          <w:rFonts w:hint="eastAsia" w:ascii="黑体" w:hAnsi="黑体" w:eastAsia="黑体" w:cs="黑体"/>
          <w:sz w:val="32"/>
          <w:szCs w:val="32"/>
          <w:lang w:val="en-US" w:eastAsia="zh-CN"/>
        </w:rPr>
      </w:pPr>
      <w:r>
        <w:rPr>
          <w:rFonts w:hint="eastAsia" w:ascii="黑体" w:hAnsi="黑体" w:eastAsia="黑体" w:cs="黑体"/>
          <w:color w:val="000000" w:themeColor="text1"/>
          <w:kern w:val="2"/>
          <w:sz w:val="32"/>
          <w:szCs w:val="32"/>
          <w:highlight w:val="none"/>
          <w:lang w:val="en-US" w:eastAsia="zh-CN"/>
          <w14:textFill>
            <w14:solidFill>
              <w14:schemeClr w14:val="tx1"/>
            </w14:solidFill>
          </w14:textFill>
        </w:rPr>
        <w:t>三</w:t>
      </w:r>
      <w:r>
        <w:rPr>
          <w:rFonts w:hint="eastAsia" w:ascii="黑体" w:hAnsi="黑体" w:eastAsia="黑体" w:cs="黑体"/>
          <w:sz w:val="32"/>
          <w:szCs w:val="32"/>
          <w:lang w:val="en-US" w:eastAsia="zh-CN"/>
        </w:rPr>
        <w:t>、建议</w:t>
      </w:r>
    </w:p>
    <w:p>
      <w:pPr>
        <w:keepNext w:val="0"/>
        <w:keepLines w:val="0"/>
        <w:pageBreakBefore w:val="0"/>
        <w:widowControl w:val="0"/>
        <w:suppressAutoHyphens/>
        <w:kinsoku/>
        <w:wordWrap/>
        <w:overflowPunct/>
        <w:topLinePunct w:val="0"/>
        <w:autoSpaceDE/>
        <w:autoSpaceDN w:val="0"/>
        <w:bidi w:val="0"/>
        <w:adjustRightInd w:val="0"/>
        <w:snapToGrid w:val="0"/>
        <w:spacing w:line="600" w:lineRule="exact"/>
        <w:ind w:left="0" w:leftChars="0" w:firstLine="640" w:firstLineChars="200"/>
        <w:jc w:val="both"/>
        <w:textAlignment w:val="baseline"/>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《征收补偿方案》经县政府常务会研究通过，随后拟提请县委深改委会议审议。待审议通过后以县委、县政府“两办”文件形式印发实施。</w:t>
      </w:r>
    </w:p>
    <w:p>
      <w:pPr>
        <w:keepNext w:val="0"/>
        <w:keepLines w:val="0"/>
        <w:pageBreakBefore w:val="0"/>
        <w:widowControl w:val="0"/>
        <w:numPr>
          <w:ilvl w:val="0"/>
          <w:numId w:val="0"/>
        </w:numPr>
        <w:suppressAutoHyphens/>
        <w:kinsoku/>
        <w:wordWrap/>
        <w:overflowPunct/>
        <w:topLinePunct w:val="0"/>
        <w:autoSpaceDE/>
        <w:autoSpaceDN w:val="0"/>
        <w:bidi w:val="0"/>
        <w:adjustRightInd w:val="0"/>
        <w:snapToGrid w:val="0"/>
        <w:spacing w:line="600" w:lineRule="exact"/>
        <w:ind w:left="0" w:leftChars="0" w:firstLine="640"/>
        <w:textAlignment w:val="baseline"/>
        <w:rPr>
          <w:rFonts w:hint="eastAsia" w:ascii="仿宋_GB2312" w:hAnsi="仿宋_GB2312" w:eastAsia="仿宋_GB2312" w:cs="仿宋_GB2312"/>
          <w:sz w:val="32"/>
          <w:szCs w:val="32"/>
          <w:lang w:val="en-US" w:eastAsia="zh-CN"/>
        </w:rPr>
      </w:pPr>
    </w:p>
    <w:p>
      <w:pPr>
        <w:keepNext w:val="0"/>
        <w:keepLines w:val="0"/>
        <w:pageBreakBefore w:val="0"/>
        <w:widowControl w:val="0"/>
        <w:numPr>
          <w:ilvl w:val="0"/>
          <w:numId w:val="0"/>
        </w:numPr>
        <w:suppressAutoHyphens/>
        <w:kinsoku/>
        <w:wordWrap/>
        <w:overflowPunct/>
        <w:topLinePunct w:val="0"/>
        <w:autoSpaceDE/>
        <w:autoSpaceDN w:val="0"/>
        <w:bidi w:val="0"/>
        <w:adjustRightInd w:val="0"/>
        <w:snapToGrid w:val="0"/>
        <w:spacing w:line="600" w:lineRule="exact"/>
        <w:ind w:left="0" w:leftChars="0" w:firstLine="640"/>
        <w:textAlignment w:val="baseline"/>
        <w:rPr>
          <w:rFonts w:hint="eastAsia" w:ascii="仿宋_GB2312" w:hAnsi="仿宋_GB2312" w:eastAsia="仿宋_GB2312" w:cs="仿宋_GB2312"/>
          <w:sz w:val="32"/>
          <w:szCs w:val="32"/>
          <w:lang w:val="en-US" w:eastAsia="zh-CN"/>
        </w:rPr>
      </w:pPr>
    </w:p>
    <w:p>
      <w:pPr>
        <w:keepNext w:val="0"/>
        <w:keepLines w:val="0"/>
        <w:pageBreakBefore w:val="0"/>
        <w:widowControl w:val="0"/>
        <w:numPr>
          <w:ilvl w:val="0"/>
          <w:numId w:val="0"/>
        </w:numPr>
        <w:suppressAutoHyphens/>
        <w:kinsoku/>
        <w:wordWrap/>
        <w:overflowPunct/>
        <w:topLinePunct w:val="0"/>
        <w:autoSpaceDE/>
        <w:autoSpaceDN w:val="0"/>
        <w:bidi w:val="0"/>
        <w:adjustRightInd w:val="0"/>
        <w:snapToGrid w:val="0"/>
        <w:spacing w:line="600" w:lineRule="exact"/>
        <w:ind w:firstLine="5120" w:firstLineChars="1600"/>
        <w:textAlignment w:val="baseline"/>
        <w:rPr>
          <w:rFonts w:hint="eastAsia" w:ascii="仿宋_GB2312" w:hAnsi="仿宋_GB2312" w:eastAsia="仿宋_GB2312" w:cs="仿宋_GB2312"/>
          <w:sz w:val="32"/>
          <w:szCs w:val="32"/>
          <w:lang w:val="en-US" w:eastAsia="zh-CN"/>
        </w:rPr>
      </w:pPr>
      <w:bookmarkStart w:id="0" w:name="_GoBack"/>
      <w:r>
        <w:rPr>
          <w:rFonts w:hint="eastAsia" w:ascii="仿宋_GB2312" w:hAnsi="仿宋_GB2312" w:eastAsia="仿宋_GB2312" w:cs="仿宋_GB2312"/>
          <w:sz w:val="32"/>
          <w:szCs w:val="32"/>
          <w:lang w:val="en-US" w:eastAsia="zh-CN"/>
        </w:rPr>
        <w:t>隆尧县住房和城乡建设局</w:t>
      </w:r>
    </w:p>
    <w:p>
      <w:pPr>
        <w:keepNext w:val="0"/>
        <w:keepLines w:val="0"/>
        <w:pageBreakBefore w:val="0"/>
        <w:widowControl w:val="0"/>
        <w:numPr>
          <w:ilvl w:val="0"/>
          <w:numId w:val="0"/>
        </w:numPr>
        <w:suppressAutoHyphens/>
        <w:kinsoku/>
        <w:wordWrap/>
        <w:overflowPunct/>
        <w:topLinePunct w:val="0"/>
        <w:autoSpaceDE/>
        <w:autoSpaceDN w:val="0"/>
        <w:bidi w:val="0"/>
        <w:adjustRightInd w:val="0"/>
        <w:snapToGrid w:val="0"/>
        <w:spacing w:line="600" w:lineRule="exact"/>
        <w:ind w:firstLine="5760" w:firstLineChars="1800"/>
        <w:textAlignment w:val="baseline"/>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2021年9月5日</w:t>
      </w:r>
    </w:p>
    <w:p/>
    <w:bookmarkEnd w:id="0"/>
    <w:sectPr>
      <w:footerReference r:id="rId3" w:type="default"/>
      <w:pgSz w:w="11906" w:h="16838"/>
      <w:pgMar w:top="1417" w:right="1417" w:bottom="1247" w:left="1417" w:header="851" w:footer="992" w:gutter="0"/>
      <w:cols w:space="0" w:num="1"/>
      <w:rtlGutter w:val="0"/>
      <w:docGrid w:type="lines" w:linePitch="31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auto"/>
    <w:pitch w:val="default"/>
    <w:sig w:usb0="E0002EFF" w:usb1="C000785B" w:usb2="00000009" w:usb3="00000000" w:csb0="400001FF" w:csb1="FFFF0000"/>
  </w:font>
  <w:font w:name="宋体">
    <w:panose1 w:val="02010600030101010101"/>
    <w:charset w:val="34"/>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华文中宋">
    <w:altName w:val="宋体"/>
    <w:panose1 w:val="02010600040101010101"/>
    <w:charset w:val="86"/>
    <w:family w:val="auto"/>
    <w:pitch w:val="default"/>
    <w:sig w:usb0="00000000" w:usb1="00000000" w:usb2="00000000" w:usb3="00000000" w:csb0="0004009F" w:csb1="DFD70000"/>
  </w:font>
  <w:font w:name="新宋体">
    <w:panose1 w:val="02010609030101010101"/>
    <w:charset w:val="86"/>
    <w:family w:val="auto"/>
    <w:pitch w:val="default"/>
    <w:sig w:usb0="00000283" w:usb1="288F0000" w:usb2="00000006"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p>
    <w:pPr>
      <w:pStyle w:val="2"/>
    </w:pPr>
  </w:p>
  <w:p>
    <w:pPr>
      <w:pStyle w:val="2"/>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E802294"/>
    <w:multiLevelType w:val="singleLevel"/>
    <w:tmpl w:val="AE802294"/>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47D00A4"/>
    <w:rsid w:val="41DB126E"/>
    <w:rsid w:val="597802D8"/>
    <w:rsid w:val="5985203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theme/theme1.xml" Type="http://schemas.openxmlformats.org/officeDocument/2006/relationships/theme"/><Relationship Id="rId5" Target="../customXml/item1.xml" Type="http://schemas.openxmlformats.org/officeDocument/2006/relationships/customXml"/><Relationship Id="rId6" Target="numbering.xml" Type="http://schemas.openxmlformats.org/officeDocument/2006/relationships/numbering"/><Relationship Id="rId7"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Office_11.1.0.10650_F1E327BC-269C-435d-A152-05C5408002CA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2021-09-05T12:01:11Z</dcterms:created>
  <dc:creator>Administrator</dc:creator>
  <cp:lastModifiedBy>杰瑞</cp:lastModifiedBy>
  <cp:lastPrinted>2021-09-05T12:56:56Z</cp:lastPrinted>
  <dcterms:modified xsi:type="dcterms:W3CDTF">2021-09-05T13:16:44Z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2052-11.1.0.10650</vt:lpwstr>
  </property>
  <property fmtid="{D5CDD505-2E9C-101B-9397-08002B2CF9AE}" pid="3" name="ICV">
    <vt:lpwstr>2A934795188E4CAF91603B620506BA7E</vt:lpwstr>
  </property>
</Properties>
</file>