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44"/>
          <w:szCs w:val="44"/>
          <w:lang w:val="en-US" w:eastAsia="zh-CN"/>
        </w:rPr>
      </w:pPr>
      <w:r>
        <w:rPr>
          <w:rFonts w:hint="eastAsia"/>
          <w:b/>
          <w:bCs/>
          <w:sz w:val="44"/>
          <w:szCs w:val="44"/>
          <w:lang w:val="en-US" w:eastAsia="zh-CN"/>
        </w:rPr>
        <w:t>隆尧县县自然资源和规划局</w:t>
      </w:r>
    </w:p>
    <w:p>
      <w:pPr>
        <w:jc w:val="center"/>
        <w:rPr>
          <w:rFonts w:hint="eastAsia"/>
          <w:b/>
          <w:bCs/>
          <w:sz w:val="44"/>
          <w:szCs w:val="44"/>
          <w:lang w:val="en-US" w:eastAsia="zh-CN"/>
        </w:rPr>
      </w:pPr>
      <w:bookmarkStart w:id="0" w:name="_GoBack"/>
      <w:bookmarkEnd w:id="0"/>
      <w:r>
        <w:rPr>
          <w:rFonts w:hint="eastAsia"/>
          <w:b/>
          <w:bCs/>
          <w:sz w:val="44"/>
          <w:szCs w:val="44"/>
          <w:lang w:val="en-US" w:eastAsia="zh-CN"/>
        </w:rPr>
        <w:t>整体支出绩效评价报告</w:t>
      </w:r>
    </w:p>
    <w:p>
      <w:pPr>
        <w:jc w:val="both"/>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一、基本情况</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（一）主要职能</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隆尧县县自然资源和规划局贯彻落实党中央关于自然资源的方针政策和决策部署，落实县委工作要求，在履行职责过程中坚持和加强党对自然资源工作的集中统一领导。主要职责是：</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w:t>
      </w:r>
      <w:r>
        <w:rPr>
          <w:rFonts w:hint="default" w:ascii="仿宋" w:hAnsi="仿宋" w:eastAsia="仿宋" w:cs="仿宋"/>
          <w:sz w:val="32"/>
          <w:szCs w:val="32"/>
          <w:lang w:val="en-US" w:eastAsia="zh-CN"/>
        </w:rPr>
        <w:t>）履行全民所有土地、矿产、森林、湿地、水等自然资源资产所有者职责和所有国土空间用途管制职责。组织实施国家自然资源、林业、城乡规划及测绘等法律、法规，制定相关政策措施并贯彻实施。</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负责自然资源调查监测评价。贯彻执行国家、省、市自然资源调查监测评价的指标体系和统计标准，建立全县统一规范的自然资源调查监测评价制度。实施自然资源基础调查，组织开展土地、矿产、水、森林、湿地和陆生野生动植物资源等专项调查、动态监测与评价。负责自然资源调查监测评价成果的监督管理和信息发布。</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负责自然资源统一确权登记工作。制定、实施各类自然资源和不动产统一确权登记、权籍调查、不动产测绘、争议调处、成果应用的制度、规范。建立健全全县自然资源和不动产登记信息管理基础平台。负责自然资源和不动产登记资料收集、整理、共享、汇交管理等。</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负责自然资源资产有偿使用工作。实施全民所有自然资源资产统计制度、报告制度。负责全民所有自然资源资产核算。编制全民所有自然资源资产负债表，拟订考核标准并组织实施。制定并指导实施全民所有自然资源资产划拨、出让、租赁、作价出资和土地储备政策措施，合理配置全民所有自然资源资产。负责自然资源资产价值评估管理，依法收缴相关资产收益。</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负责自然资源的合理开发利用。组织拟订自然资源发展规划和战略，组织实施自然资源开发利用，建立政府公示自然资源价格体系，组织开展自然资源分等定级价格评估，开展自然资源利用评价考核，指导节约集约利用。负责自然资源市场监管。组织研究自然资源管理涉及宏观调控、区域协调和城乡统筹的政策措施。</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负责建立空间规划体系并监督实施。推进主体功能区规划战略，组织编制并监督实施国土空间规划和相关专项规划，统筹衔接其他种类专项规划。开展国土空间开发适宜性评价，建立国土空间规划实施监测、评估和预警体系。组织划定生态保护红线、永久基本农田、城镇开发边界等控制线，构建节约资源和保护环境的生产、生活、生态空间布局。贯彻落实国土空间用途管制制度，研究拟订城乡规划政策并监督实施。组织拟订并实施土地等自然资源年度利用计划。负责土地等国土空间用途转用工作。负责土地征收征用管理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7</w:t>
      </w:r>
      <w:r>
        <w:rPr>
          <w:rFonts w:hint="default" w:ascii="仿宋" w:hAnsi="仿宋" w:eastAsia="仿宋" w:cs="仿宋"/>
          <w:sz w:val="32"/>
          <w:szCs w:val="32"/>
          <w:lang w:val="en-US" w:eastAsia="zh-CN"/>
        </w:rPr>
        <w:t>）负责统筹国土空间生态修复。牵头组织编制国土空间生态修复规划并实施有关生态修复重大工程。负责国土空间综合整治、土地整理复垦、矿山地质环境恢复治理等工作。组织实施林业及其生态保护的政策措施，组织、指导植树造林工作；组织指导天然林保护、退耕还林、古树名木保护。建立和实施生态保护补偿制度，制定合理利用社会资金进行生态修复的政策措施，提出重大备选项目。</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8</w:t>
      </w:r>
      <w:r>
        <w:rPr>
          <w:rFonts w:hint="default" w:ascii="仿宋" w:hAnsi="仿宋" w:eastAsia="仿宋" w:cs="仿宋"/>
          <w:sz w:val="32"/>
          <w:szCs w:val="32"/>
          <w:lang w:val="en-US" w:eastAsia="zh-CN"/>
        </w:rPr>
        <w:t>）负责组织实施最严格的耕地保护制度。牵头拟订并实施耕地保护政策，负责耕地数量、质量、生态保护。组织实施耕地保护责任目标考核和永久基本农田特殊保护。完善并落实耕地占补平衡制度，监督占用耕地补偿制度执行情况。</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9</w:t>
      </w:r>
      <w:r>
        <w:rPr>
          <w:rFonts w:hint="default" w:ascii="仿宋" w:hAnsi="仿宋" w:eastAsia="仿宋" w:cs="仿宋"/>
          <w:sz w:val="32"/>
          <w:szCs w:val="32"/>
          <w:lang w:val="en-US" w:eastAsia="zh-CN"/>
        </w:rPr>
        <w:t>）负责组织编制、修改详细规划和城市设计。负责组织编制、修改城市地下空间开发利用、城市综合交通体系、城市道路交通、城市绿道与慢行系统等专项规划。指导编制乡镇、村庄规划。</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10</w:t>
      </w:r>
      <w:r>
        <w:rPr>
          <w:rFonts w:hint="default" w:ascii="仿宋" w:hAnsi="仿宋" w:eastAsia="仿宋" w:cs="仿宋"/>
          <w:sz w:val="32"/>
          <w:szCs w:val="32"/>
          <w:lang w:val="en-US" w:eastAsia="zh-CN"/>
        </w:rPr>
        <w:t>）负责建设工程规划管理。负责各项建设工程的规划审批与竣工核实。办理各类建设工程的建设项目选址意见书、建设用地规划许可证、建设工程规划许可证、乡村建设规划许可证、建设工程规划核实合格证。承担国家、省和市批准、核准的建设项目选址和风景名胜区重大项目建设工程项目选址的前期论证、初审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11</w:t>
      </w:r>
      <w:r>
        <w:rPr>
          <w:rFonts w:hint="default" w:ascii="仿宋" w:hAnsi="仿宋" w:eastAsia="仿宋" w:cs="仿宋"/>
          <w:sz w:val="32"/>
          <w:szCs w:val="32"/>
          <w:lang w:val="en-US" w:eastAsia="zh-CN"/>
        </w:rPr>
        <w:t>）负责地质灾害预防和治理。按照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12</w:t>
      </w:r>
      <w:r>
        <w:rPr>
          <w:rFonts w:hint="default" w:ascii="仿宋" w:hAnsi="仿宋" w:eastAsia="仿宋" w:cs="仿宋"/>
          <w:sz w:val="32"/>
          <w:szCs w:val="32"/>
          <w:lang w:val="en-US" w:eastAsia="zh-CN"/>
        </w:rPr>
        <w:t>）负责矿产资源管理工作。负责矿产资源储量、压覆矿产资源管理。负责矿业权管理。会同有关部门承担保护性开采的特定矿种、优势矿产的调控及相关管理工作。监督指导矿产资源合理利用和保护。负责管理地质勘查相关工作。组织实施全县地质调查和矿产资源勘查。管理地质勘查项目。监督管理地下水过量开采及引发的地面沉降等地质问题。负责古生物化石的监督管理。</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13</w:t>
      </w:r>
      <w:r>
        <w:rPr>
          <w:rFonts w:hint="default" w:ascii="仿宋" w:hAnsi="仿宋" w:eastAsia="仿宋" w:cs="仿宋"/>
          <w:sz w:val="32"/>
          <w:szCs w:val="32"/>
          <w:lang w:val="en-US" w:eastAsia="zh-CN"/>
        </w:rPr>
        <w:t>）负责测绘地理信息管理工作。负责基础测绘和测绘行业管理。负责测绘资质资格与信用管理，监督管理地理信息安全和市场秩序。负责测绘地理信息成果管理、地图管理和测量标志的设立和保护。负责地理信息公共服务管理。</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14</w:t>
      </w:r>
      <w:r>
        <w:rPr>
          <w:rFonts w:hint="default" w:ascii="仿宋" w:hAnsi="仿宋" w:eastAsia="仿宋" w:cs="仿宋"/>
          <w:sz w:val="32"/>
          <w:szCs w:val="32"/>
          <w:lang w:val="en-US" w:eastAsia="zh-CN"/>
        </w:rPr>
        <w:t>）组织全县林业产业体系建设，指导公益林和商品林的培育。承担林业应对气候变化的相关工作。组织指导农村林业发展，维护林业经营者权益。组织实施林业资源优化配置及木材利用政策措施。监督实施相关林业产业标准，指导林业产业扶贫等相关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15</w:t>
      </w:r>
      <w:r>
        <w:rPr>
          <w:rFonts w:hint="default" w:ascii="仿宋" w:hAnsi="仿宋" w:eastAsia="仿宋" w:cs="仿宋"/>
          <w:sz w:val="32"/>
          <w:szCs w:val="32"/>
          <w:lang w:val="en-US" w:eastAsia="zh-CN"/>
        </w:rPr>
        <w:t>）组织编制并监督执行全县森林采伐限额。审批并监督木材凭证采伐、凭证运输。负责林地管理，拟订林地保护利用规划并组织实施，对应由国家、省、市、县批准的征、占用林地进行初审。指导各类公益林、国有森林经营单位的森林资源管理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16</w:t>
      </w:r>
      <w:r>
        <w:rPr>
          <w:rFonts w:hint="default" w:ascii="仿宋" w:hAnsi="仿宋" w:eastAsia="仿宋" w:cs="仿宋"/>
          <w:sz w:val="32"/>
          <w:szCs w:val="32"/>
          <w:lang w:val="en-US" w:eastAsia="zh-CN"/>
        </w:rPr>
        <w:t>）负责陆生野生动植物资源的监督管理。依法组织指导陆生野生动植物的救护繁育、栖息地恢复发展、疫源疫病监测，监督管理陆生野生动植物猎捕或采集、驯养繁殖或培植、经营利用。按分工监督管理野生动植物进出口。负责生物多样性保护相关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17</w:t>
      </w:r>
      <w:r>
        <w:rPr>
          <w:rFonts w:hint="default" w:ascii="仿宋" w:hAnsi="仿宋" w:eastAsia="仿宋" w:cs="仿宋"/>
          <w:sz w:val="32"/>
          <w:szCs w:val="32"/>
          <w:lang w:val="en-US" w:eastAsia="zh-CN"/>
        </w:rPr>
        <w:t>）负责各类自然保护地的监督管理。拟订国家公园、自然保护区、风景名胜区、自然遗产、地质公园、湿地公园、森林公园等各类自然保护地规划和相关标准。负责国家公园、风景名胜区、森林公园、湿地公园等自然保护地的设立申报、规划、建设和管理等工作。指导、监督开展森林防火巡护、火源管理、监测预警、防火设施建设等工作。指导森林公安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18</w:t>
      </w:r>
      <w:r>
        <w:rPr>
          <w:rFonts w:hint="default" w:ascii="仿宋" w:hAnsi="仿宋" w:eastAsia="仿宋" w:cs="仿宋"/>
          <w:sz w:val="32"/>
          <w:szCs w:val="32"/>
          <w:lang w:val="en-US" w:eastAsia="zh-CN"/>
        </w:rPr>
        <w:t>）负责自然资源督察和行政执法工作。根据县委、县政府授权，对乡镇政府落实自然资源、林业和国土空间规划的重大方针政策、决策部署及法律法规执行情况进行督察。查处自然资源开发利用、林业、国土空间规划及测绘违法案件。负责全县自然资源领域有关行政执法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19</w:t>
      </w:r>
      <w:r>
        <w:rPr>
          <w:rFonts w:hint="default" w:ascii="仿宋" w:hAnsi="仿宋" w:eastAsia="仿宋" w:cs="仿宋"/>
          <w:sz w:val="32"/>
          <w:szCs w:val="32"/>
          <w:lang w:val="en-US" w:eastAsia="zh-CN"/>
        </w:rPr>
        <w:t>）负责自然资源领域科技发展工作。制定并实施自然资源和规划领域科技创新发展和人才培养规划和计划。组织实施自然资源和规划领域重大科技工程及创新能力建设，推进自然资源领域信息化和信息资料的公共服务。开展自然资源和规划领域对外合作与交流。</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20</w:t>
      </w:r>
      <w:r>
        <w:rPr>
          <w:rFonts w:hint="default" w:ascii="仿宋" w:hAnsi="仿宋" w:eastAsia="仿宋" w:cs="仿宋"/>
          <w:sz w:val="32"/>
          <w:szCs w:val="32"/>
          <w:lang w:val="en-US" w:eastAsia="zh-CN"/>
        </w:rPr>
        <w:t>）承担县相关议事机构的日常工作。</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21</w:t>
      </w:r>
      <w:r>
        <w:rPr>
          <w:rFonts w:hint="default" w:ascii="仿宋" w:hAnsi="仿宋" w:eastAsia="仿宋" w:cs="仿宋"/>
          <w:sz w:val="32"/>
          <w:szCs w:val="32"/>
          <w:lang w:val="en-US" w:eastAsia="zh-CN"/>
        </w:rPr>
        <w:t>）完成上级交办的其他任务。</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22</w:t>
      </w:r>
      <w:r>
        <w:rPr>
          <w:rFonts w:hint="default" w:ascii="仿宋" w:hAnsi="仿宋" w:eastAsia="仿宋" w:cs="仿宋"/>
          <w:sz w:val="32"/>
          <w:szCs w:val="32"/>
          <w:lang w:val="en-US" w:eastAsia="zh-CN"/>
        </w:rPr>
        <w:t>）职能转变。县自然资源和规划局要落实中央和省、市、县关于统一行使全民所有自然资源资产所有者职责，统一行使所有国土空间用途管制和生态保护修复职责的要求，强化制度设计，发挥国土空间规划的管控作用，推进规划选址和用地预审审批事项整合，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切实加大生态系统保护力度，实施重要生态系统保护和修复工程，加强森林、湿地监督管理的统筹协调，大力推进国土绿化，保障林业生态安全。加快建立自然保护地体系，统一推进各类自然保护地的清理规范和归并整合。</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（二）组织架构、人员及资产情况</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b/>
          <w:bCs/>
          <w:sz w:val="32"/>
          <w:szCs w:val="32"/>
          <w:highlight w:val="none"/>
          <w:lang w:val="en-US" w:eastAsia="zh-CN"/>
        </w:rPr>
        <w:t>1.组织架构。</w:t>
      </w:r>
      <w:r>
        <w:rPr>
          <w:rFonts w:hint="default" w:ascii="仿宋" w:hAnsi="仿宋" w:eastAsia="仿宋" w:cs="仿宋"/>
          <w:sz w:val="32"/>
          <w:szCs w:val="32"/>
          <w:highlight w:val="none"/>
          <w:lang w:val="en-US" w:eastAsia="zh-CN"/>
        </w:rPr>
        <w:t>隆尧县县自然资源和规划局为行政单位，内设</w:t>
      </w:r>
      <w:r>
        <w:rPr>
          <w:rFonts w:hint="eastAsia" w:ascii="仿宋" w:hAnsi="仿宋" w:eastAsia="仿宋" w:cs="仿宋"/>
          <w:sz w:val="32"/>
          <w:szCs w:val="32"/>
          <w:highlight w:val="none"/>
          <w:lang w:val="en-US" w:eastAsia="zh-CN"/>
        </w:rPr>
        <w:t>12</w:t>
      </w:r>
      <w:r>
        <w:rPr>
          <w:rFonts w:hint="default" w:ascii="仿宋" w:hAnsi="仿宋" w:eastAsia="仿宋" w:cs="仿宋"/>
          <w:sz w:val="32"/>
          <w:szCs w:val="32"/>
          <w:highlight w:val="none"/>
          <w:lang w:val="en-US" w:eastAsia="zh-CN"/>
        </w:rPr>
        <w:t>个职能部门，分别为：</w:t>
      </w:r>
      <w:r>
        <w:rPr>
          <w:rFonts w:hint="eastAsia" w:ascii="仿宋" w:hAnsi="仿宋" w:eastAsia="仿宋" w:cs="仿宋"/>
          <w:sz w:val="32"/>
          <w:szCs w:val="32"/>
          <w:highlight w:val="none"/>
          <w:lang w:val="en-US" w:eastAsia="zh-CN"/>
        </w:rPr>
        <w:t>办公室、财务股、行政执法股、自然资源调查和确权登记股、自然资源权益和用途专制股、国土空间和建设用地规划股、建设工程和市政工程规划股、耕地保护股、地质矿产股、代理信息股、生态保护修复股、资源林政股</w:t>
      </w:r>
      <w:r>
        <w:rPr>
          <w:rFonts w:hint="default"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b/>
          <w:bCs/>
          <w:sz w:val="32"/>
          <w:szCs w:val="32"/>
          <w:highlight w:val="none"/>
          <w:lang w:val="en-US" w:eastAsia="zh-CN"/>
        </w:rPr>
        <w:t>2.人员情况。</w:t>
      </w:r>
      <w:r>
        <w:rPr>
          <w:rFonts w:hint="default" w:ascii="仿宋" w:hAnsi="仿宋" w:eastAsia="仿宋" w:cs="仿宋"/>
          <w:sz w:val="32"/>
          <w:szCs w:val="32"/>
          <w:highlight w:val="none"/>
          <w:lang w:val="en-US" w:eastAsia="zh-CN"/>
        </w:rPr>
        <w:t>20</w:t>
      </w:r>
      <w:r>
        <w:rPr>
          <w:rFonts w:hint="eastAsia" w:ascii="仿宋" w:hAnsi="仿宋" w:eastAsia="仿宋" w:cs="仿宋"/>
          <w:sz w:val="32"/>
          <w:szCs w:val="32"/>
          <w:highlight w:val="none"/>
          <w:lang w:val="en-US" w:eastAsia="zh-CN"/>
        </w:rPr>
        <w:t>21</w:t>
      </w:r>
      <w:r>
        <w:rPr>
          <w:rFonts w:hint="default" w:ascii="仿宋" w:hAnsi="仿宋" w:eastAsia="仿宋" w:cs="仿宋"/>
          <w:sz w:val="32"/>
          <w:szCs w:val="32"/>
          <w:highlight w:val="none"/>
          <w:lang w:val="en-US" w:eastAsia="zh-CN"/>
        </w:rPr>
        <w:t>年末编制人员总数</w:t>
      </w:r>
      <w:r>
        <w:rPr>
          <w:rFonts w:hint="eastAsia" w:ascii="仿宋" w:hAnsi="仿宋" w:eastAsia="仿宋" w:cs="仿宋"/>
          <w:sz w:val="32"/>
          <w:szCs w:val="32"/>
          <w:highlight w:val="none"/>
          <w:lang w:val="en-US" w:eastAsia="zh-CN"/>
        </w:rPr>
        <w:t>254</w:t>
      </w:r>
      <w:r>
        <w:rPr>
          <w:rFonts w:hint="default" w:ascii="仿宋" w:hAnsi="仿宋" w:eastAsia="仿宋" w:cs="仿宋"/>
          <w:sz w:val="32"/>
          <w:szCs w:val="32"/>
          <w:highlight w:val="none"/>
          <w:lang w:val="en-US" w:eastAsia="zh-CN"/>
        </w:rPr>
        <w:t>人，其中：</w:t>
      </w:r>
      <w:r>
        <w:rPr>
          <w:rFonts w:hint="eastAsia" w:ascii="仿宋" w:hAnsi="仿宋" w:eastAsia="仿宋" w:cs="仿宋"/>
          <w:sz w:val="32"/>
          <w:szCs w:val="32"/>
          <w:highlight w:val="none"/>
          <w:lang w:val="en-US" w:eastAsia="zh-CN"/>
        </w:rPr>
        <w:t>财政开支41人、自收自支213人。</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b/>
          <w:bCs/>
          <w:sz w:val="32"/>
          <w:szCs w:val="32"/>
          <w:highlight w:val="none"/>
          <w:lang w:val="en-US" w:eastAsia="zh-CN"/>
        </w:rPr>
        <w:t>3.资产情况。</w:t>
      </w:r>
      <w:r>
        <w:rPr>
          <w:rFonts w:hint="eastAsia" w:ascii="仿宋" w:hAnsi="仿宋" w:eastAsia="仿宋" w:cs="仿宋"/>
          <w:sz w:val="32"/>
          <w:szCs w:val="32"/>
          <w:highlight w:val="none"/>
          <w:lang w:val="en-US" w:eastAsia="zh-CN"/>
        </w:rPr>
        <w:t>2021年我局资产总额6503446.1元，办公用房3479.15平方米；车辆12辆。</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（三）部门目标及工作任务</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隆尧县自然资源和规划局主要工作任务为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（四）预算资金安排及资金支出情况</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2020年，我局预算为42109.774万元，全年财政拨款收入28847.77323万元，全年支出28847.77323万元，年末结转0.00万元。</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二、预算绩效管理开展及整体绩效实现情况</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我局严格按照年初预算安排,严格执行中央八项规定和省、市十项规定,规范使用预算资金。收入上，严格执行</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收支两条线</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管理制度，按规定使用非税票据并直接缴入国库，无隐瞒收入和其他违反国家收费管理规定的行为。在支出管理中, 认真执行国库集中支付、政府采购、重点工作和大额支付上会集体决策等相关财务管理制度。认真做好对账工作，加强动态监控，保障机关各项工作顺利开展。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2020年，我局突出重点，狠抓落实，较好完成各项工作任务：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highlight w:val="none"/>
          <w:lang w:eastAsia="zh-CN"/>
        </w:rPr>
      </w:pPr>
      <w:r>
        <w:rPr>
          <w:rFonts w:hint="eastAsia" w:ascii="仿宋" w:hAnsi="仿宋" w:eastAsia="仿宋" w:cs="仿宋"/>
          <w:kern w:val="2"/>
          <w:sz w:val="32"/>
          <w:szCs w:val="32"/>
          <w:highlight w:val="none"/>
          <w:lang w:val="en-US" w:eastAsia="zh-CN" w:bidi="ar-SA"/>
        </w:rPr>
        <w:t>（1）</w:t>
      </w:r>
      <w:r>
        <w:rPr>
          <w:rFonts w:hint="eastAsia" w:ascii="仿宋" w:hAnsi="仿宋" w:eastAsia="仿宋" w:cs="仿宋"/>
          <w:sz w:val="32"/>
          <w:szCs w:val="32"/>
          <w:highlight w:val="none"/>
          <w:lang w:val="en-US" w:eastAsia="zh-CN"/>
        </w:rPr>
        <w:t>在2016年储备林贷款贴息方面，2020年度实际支付利息867.73万元。其中：中央贴息124.92万元</w:t>
      </w:r>
      <w:r>
        <w:rPr>
          <w:rFonts w:hint="eastAsia" w:ascii="仿宋" w:hAnsi="仿宋" w:eastAsia="仿宋" w:cs="仿宋"/>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（2）在2017年造林方面，完成《隆尧县2017年造林绿化实施方案》</w:t>
      </w:r>
      <w:r>
        <w:rPr>
          <w:rFonts w:hint="eastAsia" w:ascii="仿宋" w:hAnsi="仿宋" w:eastAsia="仿宋" w:cs="仿宋"/>
          <w:sz w:val="32"/>
          <w:szCs w:val="32"/>
        </w:rPr>
        <w:t>安排造林任务35000亩</w:t>
      </w:r>
      <w:r>
        <w:rPr>
          <w:rFonts w:hint="eastAsia" w:ascii="仿宋" w:hAnsi="仿宋" w:eastAsia="仿宋" w:cs="仿宋"/>
          <w:sz w:val="32"/>
          <w:szCs w:val="32"/>
          <w:lang w:eastAsia="zh-CN"/>
        </w:rPr>
        <w:t>，</w:t>
      </w:r>
      <w:r>
        <w:rPr>
          <w:rFonts w:hint="eastAsia" w:ascii="仿宋" w:hAnsi="仿宋" w:eastAsia="仿宋" w:cs="仿宋"/>
          <w:sz w:val="32"/>
          <w:szCs w:val="32"/>
        </w:rPr>
        <w:t>2017年</w:t>
      </w:r>
      <w:r>
        <w:rPr>
          <w:rFonts w:hint="eastAsia" w:ascii="仿宋" w:hAnsi="仿宋" w:eastAsia="仿宋" w:cs="仿宋"/>
          <w:sz w:val="32"/>
          <w:szCs w:val="32"/>
          <w:lang w:eastAsia="zh-CN"/>
        </w:rPr>
        <w:t>实际</w:t>
      </w:r>
      <w:r>
        <w:rPr>
          <w:rFonts w:hint="eastAsia" w:ascii="仿宋" w:hAnsi="仿宋" w:eastAsia="仿宋" w:cs="仿宋"/>
          <w:sz w:val="32"/>
          <w:szCs w:val="32"/>
        </w:rPr>
        <w:t>完成造林29408.2亩</w:t>
      </w:r>
      <w:r>
        <w:rPr>
          <w:rFonts w:hint="eastAsia" w:ascii="仿宋" w:hAnsi="仿宋" w:eastAsia="仿宋" w:cs="仿宋"/>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（3）在2018年造林方面，完成《隆尧县2018年春季造林绿化实施方案》安排造林任务42000亩，</w:t>
      </w:r>
      <w:r>
        <w:rPr>
          <w:rFonts w:hint="eastAsia" w:ascii="仿宋" w:hAnsi="仿宋" w:eastAsia="仿宋" w:cs="仿宋"/>
          <w:sz w:val="32"/>
          <w:szCs w:val="32"/>
          <w:highlight w:val="none"/>
        </w:rPr>
        <w:t>2018年</w:t>
      </w:r>
      <w:r>
        <w:rPr>
          <w:rFonts w:hint="eastAsia" w:ascii="仿宋" w:hAnsi="仿宋" w:eastAsia="仿宋" w:cs="仿宋"/>
          <w:sz w:val="32"/>
          <w:szCs w:val="32"/>
          <w:highlight w:val="none"/>
          <w:lang w:eastAsia="zh-CN"/>
        </w:rPr>
        <w:t>实际</w:t>
      </w:r>
      <w:r>
        <w:rPr>
          <w:rFonts w:hint="eastAsia" w:ascii="仿宋" w:hAnsi="仿宋" w:eastAsia="仿宋" w:cs="仿宋"/>
          <w:sz w:val="32"/>
          <w:szCs w:val="32"/>
          <w:highlight w:val="none"/>
        </w:rPr>
        <w:t>完成造林31899.7亩</w:t>
      </w:r>
      <w:r>
        <w:rPr>
          <w:rFonts w:hint="eastAsia" w:ascii="仿宋" w:hAnsi="仿宋" w:eastAsia="仿宋" w:cs="仿宋"/>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）在</w:t>
      </w:r>
      <w:r>
        <w:rPr>
          <w:rFonts w:hint="eastAsia" w:ascii="仿宋" w:hAnsi="仿宋" w:eastAsia="仿宋" w:cs="仿宋"/>
          <w:sz w:val="32"/>
          <w:szCs w:val="32"/>
          <w:highlight w:val="none"/>
          <w:lang w:val="en-US" w:eastAsia="zh-CN"/>
        </w:rPr>
        <w:t>2019年造林方面，</w:t>
      </w:r>
      <w:r>
        <w:rPr>
          <w:rFonts w:hint="eastAsia" w:ascii="仿宋" w:hAnsi="仿宋" w:eastAsia="仿宋" w:cs="仿宋"/>
          <w:sz w:val="32"/>
          <w:szCs w:val="32"/>
        </w:rPr>
        <w:t>2019年度春季新造林项目造林面积9769.9亩</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）在办公经费和人员工资及附加费方面，</w:t>
      </w:r>
      <w:r>
        <w:rPr>
          <w:rFonts w:hint="eastAsia" w:ascii="仿宋" w:hAnsi="仿宋" w:eastAsia="仿宋" w:cs="仿宋"/>
          <w:sz w:val="32"/>
          <w:szCs w:val="32"/>
        </w:rPr>
        <w:t>保障机关日常运转，保障职工工资及保险缴纳</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）在互联网</w:t>
      </w:r>
      <w:r>
        <w:rPr>
          <w:rFonts w:hint="eastAsia" w:ascii="仿宋" w:hAnsi="仿宋" w:eastAsia="仿宋" w:cs="仿宋"/>
          <w:sz w:val="32"/>
          <w:szCs w:val="32"/>
          <w:lang w:val="en-US" w:eastAsia="zh-CN"/>
        </w:rPr>
        <w:t>+不动产登记项目方面，建设“外网申请、内网审核”的隆尧县不动产便民服务系统，通过提供不动产的登记在线申请、初步预审、信息反馈等功能；</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（7）在隆尧县“两馆一中心”项目施工方面，对资源进行合理配置，建设隆尧县“两馆一中心”项目区道路铺装、给水、排水、供暖、绿化、亮化等配套市政工程；</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（8）在隆尧县固城镇乡观村砖厂土地整治（占补平衡）项目方面，</w:t>
      </w:r>
      <w:r>
        <w:rPr>
          <w:rFonts w:hint="eastAsia" w:ascii="仿宋" w:hAnsi="仿宋" w:eastAsia="仿宋" w:cs="仿宋"/>
          <w:sz w:val="32"/>
          <w:szCs w:val="32"/>
        </w:rPr>
        <w:t>项目区新增耕地为 5.7800hm2，通过对项目区进行土地平整工程、增施有机肥、土地翻耕、埋设 PVC 管道、安装出水口及其保护装置、修建田间道路等设施，实现项目区土地逐年改善为高产地</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（9）在</w:t>
      </w:r>
      <w:r>
        <w:rPr>
          <w:rFonts w:hint="eastAsia" w:ascii="仿宋" w:hAnsi="仿宋" w:eastAsia="仿宋" w:cs="仿宋"/>
          <w:sz w:val="32"/>
          <w:szCs w:val="32"/>
        </w:rPr>
        <w:t>隆尧县关于尧家庄、西张、显化寺等25个村庄规划编制</w:t>
      </w:r>
      <w:r>
        <w:rPr>
          <w:rFonts w:hint="eastAsia" w:ascii="仿宋" w:hAnsi="仿宋" w:eastAsia="仿宋" w:cs="仿宋"/>
          <w:sz w:val="32"/>
          <w:szCs w:val="32"/>
          <w:lang w:eastAsia="zh-CN"/>
        </w:rPr>
        <w:t>方面，对</w:t>
      </w:r>
      <w:r>
        <w:rPr>
          <w:rFonts w:hint="eastAsia" w:ascii="仿宋" w:hAnsi="仿宋" w:eastAsia="仿宋" w:cs="仿宋"/>
          <w:sz w:val="32"/>
          <w:szCs w:val="32"/>
          <w:lang w:val="en-US" w:eastAsia="zh-CN"/>
        </w:rPr>
        <w:t>隆尧县尧家庄、西张、显化寺等25个村庄规划编制进行招投标，9月份开始</w:t>
      </w:r>
      <w:r>
        <w:rPr>
          <w:rFonts w:hint="eastAsia" w:ascii="仿宋" w:hAnsi="仿宋" w:eastAsia="仿宋" w:cs="仿宋"/>
          <w:sz w:val="32"/>
          <w:szCs w:val="32"/>
        </w:rPr>
        <w:t>对隆尧镇（尧家庄、西张、显化寺）；东良镇（尹后、尹前、东庄）；魏庄镇（多稼庄、南牛）；双碑乡（岗头）；北楼乡（河北南汪前、尚礼村）；大张庄（渠家庄、殷家庄、范庄、马家庄、大曹庄、大虫营、东刘庄、西刘庄、小曹庄、霸王营村)；千户营乡（东王庄、王家场、南鱼）；牛家桥乡（北杨家楼）25个村庄围绕便民、利民、惠民进行村庄规划</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）在隆尧县国土空间规划双评估项目方面，说明是否制定详细可行的工作活动(项目)实施计划，是否按实施计划具体落实；制定详细可行的项目实施计划，且按实施计划进行了具体落实。</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）在隆尧县智慧城市建设项目（一期）方面，</w:t>
      </w:r>
      <w:r>
        <w:rPr>
          <w:rFonts w:hint="eastAsia" w:ascii="仿宋" w:hAnsi="仿宋" w:eastAsia="仿宋" w:cs="仿宋"/>
          <w:sz w:val="32"/>
          <w:szCs w:val="32"/>
          <w:highlight w:val="none"/>
        </w:rPr>
        <w:t>项目建成后，</w:t>
      </w:r>
      <w:r>
        <w:rPr>
          <w:rFonts w:hint="eastAsia" w:ascii="仿宋" w:hAnsi="仿宋" w:eastAsia="仿宋" w:cs="仿宋"/>
          <w:sz w:val="32"/>
          <w:szCs w:val="32"/>
          <w:highlight w:val="none"/>
          <w:lang w:eastAsia="zh-CN"/>
        </w:rPr>
        <w:t>一方面，极大地带动包括物联网、云计算、三网融合、下一代互联网以及新一代信息技术在内的战略性新兴产业的发展；另一方面，对医疗、交通、物流、金融、通信、教育、能源、环保等领域的发展也具有明显的带动作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（12）在隆尧县中心城区地下管线普查方面，</w:t>
      </w:r>
      <w:r>
        <w:rPr>
          <w:rFonts w:hint="eastAsia" w:ascii="仿宋" w:hAnsi="仿宋" w:eastAsia="仿宋" w:cs="仿宋"/>
          <w:sz w:val="32"/>
          <w:szCs w:val="32"/>
          <w:highlight w:val="none"/>
          <w:lang w:eastAsia="zh-CN"/>
        </w:rPr>
        <w:t>通过普查，全面掌握中心城区地下管线现状，建立地下管线管理数据库和信息系统，实现科学化、数字化、动态化管理。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13</w:t>
      </w:r>
      <w:r>
        <w:rPr>
          <w:rFonts w:hint="eastAsia" w:ascii="仿宋" w:hAnsi="仿宋" w:eastAsia="仿宋" w:cs="仿宋"/>
          <w:sz w:val="32"/>
          <w:szCs w:val="32"/>
          <w:highlight w:val="none"/>
          <w:lang w:eastAsia="zh-CN"/>
        </w:rPr>
        <w:t>）在提前下达2020年度省级地下水超采非农作物替代农作物项目补助资金方面，可带动项目区的资源开发利用、林产品加工及生态旅游等产业的发展，可进一步拓宽了农民就业、增收之路，加快项目区及周边群众脱贫致富。</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（14）在通道绿化、绿色走廊建设（2019年度）方面，可进一步增加隆尧县的绿化覆盖率和人均公共绿地面积。</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三、绩效评价的组织实施情况</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收到绩效评价相关文件后，单位领导及时作出了安排，委托专业人员进行绩效自评，认真梳理整体支出基本情况、项目支出情况，确定自评项目，根据项目情况收集资料，汇总数据，对绩效完成情况进行具体核实、分析，认真填写绩效自评表并撰写自评报告，最终形成评价结论。</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四、绩效目标完成情况</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2020年我局各项绩效目标基本实现。</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1.2016年储备林贷款贴息项目实现新增森林面积33682亩，项目区森林覆盖率提高3个百分点，新增林地每年可涵养水源67.4立方米。保障国家的木材安全；同时，对调整项目区的农业产业结构和社会经济结构，推动项目区人口、经济、社会、生态、资源的和谐发展，具有显著的社会效益</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2.在隆尧县造林</w:t>
      </w:r>
      <w:r>
        <w:rPr>
          <w:rFonts w:hint="default" w:ascii="仿宋" w:hAnsi="仿宋" w:eastAsia="仿宋" w:cs="仿宋"/>
          <w:sz w:val="32"/>
          <w:szCs w:val="32"/>
          <w:highlight w:val="none"/>
          <w:lang w:val="en-US" w:eastAsia="zh-CN"/>
        </w:rPr>
        <w:t>方面</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lang w:eastAsia="zh-CN"/>
        </w:rPr>
        <w:t>积极开展</w:t>
      </w:r>
      <w:r>
        <w:rPr>
          <w:rFonts w:hint="eastAsia" w:ascii="仿宋" w:hAnsi="仿宋" w:eastAsia="仿宋" w:cs="仿宋"/>
          <w:sz w:val="32"/>
          <w:szCs w:val="32"/>
          <w:highlight w:val="none"/>
          <w:lang w:val="en-US" w:eastAsia="zh-CN"/>
        </w:rPr>
        <w:t>上级</w:t>
      </w:r>
      <w:r>
        <w:rPr>
          <w:rFonts w:hint="eastAsia" w:ascii="仿宋" w:hAnsi="仿宋" w:eastAsia="仿宋" w:cs="仿宋"/>
          <w:sz w:val="32"/>
          <w:szCs w:val="32"/>
          <w:highlight w:val="none"/>
        </w:rPr>
        <w:t>安排造林任务</w:t>
      </w:r>
      <w:r>
        <w:rPr>
          <w:rFonts w:hint="eastAsia" w:ascii="仿宋" w:hAnsi="仿宋" w:eastAsia="仿宋" w:cs="仿宋"/>
          <w:sz w:val="32"/>
          <w:szCs w:val="32"/>
          <w:highlight w:val="none"/>
          <w:lang w:eastAsia="zh-CN"/>
        </w:rPr>
        <w:t>，提高隆尧县木材产出能力、维护木材安全的同时，大面积增加绿地面积，提高森林覆盖率，增强防风固沙、涵养水源、净化空气和水土保持能力，全面发挥森林木材生产及美化和改善区域生态环境多重功能，全面提高隆尧县资源和环境的承载能力，推动形成绿色低碳循环发展新方式</w:t>
      </w:r>
      <w:r>
        <w:rPr>
          <w:rFonts w:hint="eastAsia" w:ascii="仿宋" w:hAnsi="仿宋" w:eastAsia="仿宋" w:cs="仿宋"/>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3.在</w:t>
      </w:r>
      <w:r>
        <w:rPr>
          <w:rFonts w:hint="eastAsia" w:ascii="仿宋" w:hAnsi="仿宋" w:eastAsia="仿宋" w:cs="仿宋"/>
          <w:sz w:val="32"/>
          <w:szCs w:val="32"/>
          <w:highlight w:val="none"/>
          <w:lang w:eastAsia="zh-CN"/>
        </w:rPr>
        <w:t>办公经费和人员工资及附加费方面</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rPr>
        <w:t>强化预算约束机制，提高资金使用效益</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严格遵守各项财经制度，加强单位的财务管理，制定财务监督管理相关制度，建立和完善了财务收支审批制度，加强预算编制和执行，统一全局财务收支管理，确保财政预算收支平衡，保证工作的正常开展和目标任务的完成</w:t>
      </w:r>
      <w:r>
        <w:rPr>
          <w:rFonts w:hint="default"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lang w:val="en-US" w:eastAsia="zh-CN"/>
        </w:rPr>
        <w:t>4.在</w:t>
      </w:r>
      <w:r>
        <w:rPr>
          <w:rFonts w:hint="eastAsia" w:ascii="仿宋" w:hAnsi="仿宋" w:eastAsia="仿宋" w:cs="仿宋"/>
          <w:sz w:val="32"/>
          <w:szCs w:val="32"/>
          <w:lang w:eastAsia="zh-CN"/>
        </w:rPr>
        <w:t>互联网</w:t>
      </w:r>
      <w:r>
        <w:rPr>
          <w:rFonts w:hint="eastAsia" w:ascii="仿宋" w:hAnsi="仿宋" w:eastAsia="仿宋" w:cs="仿宋"/>
          <w:sz w:val="32"/>
          <w:szCs w:val="32"/>
          <w:lang w:val="en-US" w:eastAsia="zh-CN"/>
        </w:rPr>
        <w:t>+不动产登记项目方面，</w:t>
      </w:r>
      <w:r>
        <w:rPr>
          <w:rFonts w:hint="eastAsia" w:ascii="仿宋" w:hAnsi="仿宋" w:eastAsia="仿宋" w:cs="仿宋"/>
          <w:sz w:val="32"/>
          <w:szCs w:val="32"/>
        </w:rPr>
        <w:t>系统主要分为信息门户、网上申请、数据交换三个子系统。信息门户子系统提供不动产登记新闻通知、政策法规、办事指南、收费标准以及公告公示等信息汇集展示功能。将不动产登记群众办件指引、登记中心资讯动态等信息直接网络推送到群众的身边，让群众足不出户，了解不动产登记政策以及办理登记业务的流程知识，促进不动产登记工作高效开展</w:t>
      </w:r>
      <w:r>
        <w:rPr>
          <w:rFonts w:hint="eastAsia" w:ascii="仿宋" w:hAnsi="仿宋" w:eastAsia="仿宋" w:cs="仿宋"/>
          <w:sz w:val="32"/>
          <w:szCs w:val="32"/>
          <w:lang w:eastAsia="zh-CN"/>
        </w:rPr>
        <w:t>；</w:t>
      </w:r>
      <w:r>
        <w:rPr>
          <w:rFonts w:hint="eastAsia" w:ascii="仿宋" w:hAnsi="仿宋" w:eastAsia="仿宋" w:cs="仿宋"/>
          <w:sz w:val="32"/>
          <w:szCs w:val="32"/>
        </w:rPr>
        <w:t>网上申请子系统提供了在线申请、进度查询、业务审核、个人中心、门户管理、附件管理、系统管理等功能。通过改变原有的业务办理模式，全面拓宽申请人与登记中心的联络渠道，为申请人业务办理、查询提供更加便捷、高效的服务</w:t>
      </w:r>
      <w:r>
        <w:rPr>
          <w:rFonts w:hint="eastAsia" w:ascii="仿宋" w:hAnsi="仿宋" w:eastAsia="仿宋" w:cs="仿宋"/>
          <w:sz w:val="32"/>
          <w:szCs w:val="32"/>
          <w:lang w:eastAsia="zh-CN"/>
        </w:rPr>
        <w:t>；</w:t>
      </w:r>
      <w:r>
        <w:rPr>
          <w:rFonts w:hint="eastAsia" w:ascii="仿宋" w:hAnsi="仿宋" w:eastAsia="仿宋" w:cs="仿宋"/>
          <w:sz w:val="32"/>
          <w:szCs w:val="32"/>
        </w:rPr>
        <w:t>数据交换子系统提供了外网数据导入、浏览及反馈导出等内外网数据交互的功能。通过外网数据内网浏览的方法，实现了另一种层面的数据共享，提升了办公人员的办件效率。</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5.在隆尧县“两馆一中心”项目施工方面，建设两馆一中心</w:t>
      </w:r>
      <w:r>
        <w:rPr>
          <w:rFonts w:hint="eastAsia" w:ascii="仿宋" w:hAnsi="仿宋" w:eastAsia="仿宋" w:cs="仿宋"/>
          <w:sz w:val="32"/>
          <w:szCs w:val="32"/>
          <w:lang w:eastAsia="zh-CN"/>
        </w:rPr>
        <w:t>发挥集聚效应、发挥孵化的功能，</w:t>
      </w:r>
      <w:r>
        <w:rPr>
          <w:rFonts w:hint="eastAsia" w:ascii="仿宋" w:hAnsi="仿宋" w:eastAsia="仿宋" w:cs="仿宋"/>
          <w:sz w:val="32"/>
          <w:szCs w:val="32"/>
        </w:rPr>
        <w:t>使正确的思想和积极向上的风气全面占领社会主义文化阵地</w:t>
      </w:r>
      <w:r>
        <w:rPr>
          <w:rFonts w:hint="eastAsia" w:ascii="仿宋" w:hAnsi="仿宋" w:eastAsia="仿宋" w:cs="仿宋"/>
          <w:sz w:val="32"/>
          <w:szCs w:val="32"/>
          <w:lang w:eastAsia="zh-CN"/>
        </w:rPr>
        <w:t>，</w:t>
      </w:r>
      <w:r>
        <w:rPr>
          <w:rFonts w:hint="eastAsia" w:ascii="仿宋" w:hAnsi="仿宋" w:eastAsia="仿宋" w:cs="仿宋"/>
          <w:sz w:val="32"/>
          <w:szCs w:val="32"/>
        </w:rPr>
        <w:t>促进和建设社会主义文明时代建设，全面构造和谐社会</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lang w:val="en-US" w:eastAsia="zh-CN"/>
        </w:rPr>
        <w:t>6.在隆尧县固城镇乡观村砖厂土地整治（占补平衡）项目方面，</w:t>
      </w:r>
      <w:r>
        <w:rPr>
          <w:rFonts w:hint="eastAsia" w:ascii="仿宋" w:hAnsi="仿宋" w:eastAsia="仿宋" w:cs="仿宋"/>
          <w:sz w:val="32"/>
          <w:szCs w:val="32"/>
          <w:highlight w:val="none"/>
          <w:lang w:eastAsia="zh-CN"/>
        </w:rPr>
        <w:t>通过对项目区土地综合整治，促进土地的节约集约利用，使土地利用结构和布局得到合理的调整。预计新增耕地 5.7800</w:t>
      </w:r>
      <w:r>
        <w:rPr>
          <w:rFonts w:hint="eastAsia" w:ascii="仿宋" w:hAnsi="仿宋" w:eastAsia="仿宋" w:cs="仿宋"/>
          <w:sz w:val="32"/>
          <w:szCs w:val="32"/>
          <w:highlight w:val="none"/>
          <w:lang w:val="en-US" w:eastAsia="zh-CN"/>
        </w:rPr>
        <w:t>h</w:t>
      </w:r>
      <w:r>
        <w:rPr>
          <w:rFonts w:hint="eastAsia" w:ascii="仿宋" w:hAnsi="仿宋" w:eastAsia="仿宋" w:cs="仿宋"/>
          <w:sz w:val="32"/>
          <w:szCs w:val="32"/>
          <w:highlight w:val="none"/>
          <w:lang w:eastAsia="zh-CN"/>
        </w:rPr>
        <w:t>㎡，新增耕地率 68.32%。</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7.</w:t>
      </w:r>
      <w:r>
        <w:rPr>
          <w:rFonts w:hint="eastAsia" w:ascii="仿宋" w:hAnsi="仿宋" w:eastAsia="仿宋" w:cs="仿宋"/>
          <w:sz w:val="32"/>
          <w:szCs w:val="32"/>
          <w:lang w:val="en-US" w:eastAsia="zh-CN"/>
        </w:rPr>
        <w:t>在</w:t>
      </w:r>
      <w:r>
        <w:rPr>
          <w:rFonts w:hint="eastAsia" w:ascii="仿宋" w:hAnsi="仿宋" w:eastAsia="仿宋" w:cs="仿宋"/>
          <w:sz w:val="32"/>
          <w:szCs w:val="32"/>
        </w:rPr>
        <w:t>隆尧县关于尧家庄、西张、显化寺等25个村庄规划编制</w:t>
      </w:r>
      <w:r>
        <w:rPr>
          <w:rFonts w:hint="eastAsia" w:ascii="仿宋" w:hAnsi="仿宋" w:eastAsia="仿宋" w:cs="仿宋"/>
          <w:sz w:val="32"/>
          <w:szCs w:val="32"/>
          <w:lang w:eastAsia="zh-CN"/>
        </w:rPr>
        <w:t>方面，</w:t>
      </w:r>
      <w:r>
        <w:rPr>
          <w:rFonts w:hint="eastAsia" w:ascii="仿宋" w:hAnsi="仿宋" w:eastAsia="仿宋" w:cs="仿宋"/>
          <w:sz w:val="32"/>
          <w:szCs w:val="32"/>
          <w:highlight w:val="none"/>
          <w:lang w:val="en-US" w:eastAsia="zh-CN"/>
        </w:rPr>
        <w:t>2019年开始</w:t>
      </w:r>
      <w:r>
        <w:rPr>
          <w:rFonts w:hint="eastAsia" w:ascii="仿宋" w:hAnsi="仿宋" w:eastAsia="仿宋" w:cs="仿宋"/>
          <w:sz w:val="32"/>
          <w:szCs w:val="32"/>
          <w:highlight w:val="none"/>
          <w:lang w:eastAsia="zh-CN"/>
        </w:rPr>
        <w:t>对隆尧镇（尧家庄、西张、显化寺）；东良镇（尹后、尹前、东庄）；魏庄镇（多稼庄、南牛）；双碑乡（岗头）；北楼乡（河北南汪前、尚礼村）；大张庄（渠家庄、殷家庄、范庄、马家庄、大曹庄、大虫营、东刘庄、西刘庄、小曹庄、霸王营村)；千户营乡（东王庄、王家场、南鱼）；牛家桥乡（北杨家楼）25个村庄进行村庄规划编制，依据规划，预测富余劳动力转移趋势，确定村庄人口规模；明确了富民特色产业，村域范围内建设用地总量和增长边界。</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8.</w:t>
      </w:r>
      <w:r>
        <w:rPr>
          <w:rFonts w:hint="eastAsia" w:ascii="仿宋" w:hAnsi="仿宋" w:eastAsia="仿宋" w:cs="仿宋"/>
          <w:sz w:val="32"/>
          <w:szCs w:val="32"/>
          <w:lang w:eastAsia="zh-CN"/>
        </w:rPr>
        <w:t>在隆尧县国土空间规划双评估项目方面，</w:t>
      </w:r>
      <w:r>
        <w:rPr>
          <w:rFonts w:hint="eastAsia" w:ascii="仿宋" w:hAnsi="仿宋" w:eastAsia="仿宋" w:cs="仿宋"/>
          <w:sz w:val="32"/>
          <w:szCs w:val="32"/>
          <w:highlight w:val="none"/>
          <w:lang w:eastAsia="zh-CN"/>
        </w:rPr>
        <w:t>说明工作活动(项目)执行中绩效信息收集利用和执行中绩效管理情况；项目执行过程中，积极主动收集利用绩效信息，严格落实绩效管理相关制度和政策。</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9.</w:t>
      </w:r>
      <w:r>
        <w:rPr>
          <w:rFonts w:hint="eastAsia" w:ascii="仿宋" w:hAnsi="仿宋" w:eastAsia="仿宋" w:cs="仿宋"/>
          <w:sz w:val="32"/>
          <w:szCs w:val="32"/>
          <w:lang w:eastAsia="zh-CN"/>
        </w:rPr>
        <w:t>在隆尧县智慧城市建设项目（一期）方面，</w:t>
      </w:r>
      <w:r>
        <w:rPr>
          <w:rFonts w:hint="eastAsia" w:ascii="仿宋" w:hAnsi="仿宋" w:eastAsia="仿宋" w:cs="仿宋"/>
          <w:sz w:val="32"/>
          <w:szCs w:val="32"/>
          <w:highlight w:val="none"/>
          <w:lang w:val="en-US" w:eastAsia="zh-CN"/>
        </w:rPr>
        <w:t>系统建成后在城市管理、治安防控及交通管理中发挥应有作用，数据流向严格按照公安网安全接入标准的有关规定进行安全设计，确保公安网安全，具有设备管理系统，维护部门在后期使用过程中能够及时掌握设备、系统的运行状态，提高设备、系统的使用效率，延长设备使用寿命。</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lang w:val="en-US" w:eastAsia="zh-CN"/>
        </w:rPr>
        <w:t>10.在隆尧县中心城区地下管线普查方面，</w:t>
      </w:r>
      <w:r>
        <w:rPr>
          <w:rFonts w:hint="eastAsia" w:ascii="仿宋" w:hAnsi="仿宋" w:eastAsia="仿宋" w:cs="仿宋"/>
          <w:sz w:val="32"/>
          <w:szCs w:val="32"/>
        </w:rPr>
        <w:t>重点掌握</w:t>
      </w:r>
      <w:r>
        <w:rPr>
          <w:rFonts w:hint="eastAsia" w:ascii="仿宋" w:hAnsi="仿宋" w:eastAsia="仿宋" w:cs="仿宋"/>
          <w:sz w:val="32"/>
          <w:szCs w:val="32"/>
          <w:lang w:eastAsia="zh-CN"/>
        </w:rPr>
        <w:t>隆尧县</w:t>
      </w:r>
      <w:r>
        <w:rPr>
          <w:rFonts w:hint="eastAsia" w:ascii="仿宋" w:hAnsi="仿宋" w:eastAsia="仿宋" w:cs="仿宋"/>
          <w:sz w:val="32"/>
          <w:szCs w:val="32"/>
        </w:rPr>
        <w:t>地下管线的种类、数量、功能属性、材质、管径、平面位置、埋设方式、埋深、高程、走向、连接方式、权属单位、建设时间、运行时间、管线特征、沿线地形以及相关场站等信息</w:t>
      </w:r>
      <w:r>
        <w:rPr>
          <w:rFonts w:hint="eastAsia" w:ascii="仿宋" w:hAnsi="仿宋" w:eastAsia="仿宋" w:cs="仿宋"/>
          <w:sz w:val="32"/>
          <w:szCs w:val="32"/>
          <w:lang w:eastAsia="zh-CN"/>
        </w:rPr>
        <w:t>；</w:t>
      </w:r>
      <w:r>
        <w:rPr>
          <w:rFonts w:hint="eastAsia" w:ascii="仿宋" w:hAnsi="仿宋" w:eastAsia="仿宋" w:cs="仿宋"/>
          <w:sz w:val="32"/>
          <w:szCs w:val="32"/>
        </w:rPr>
        <w:t>建立健全管线管理信息系统，全县统一数据格式标准，将管线测量结果录入数据库，实现管线管理的数字化，并做好后续新建管线的动态更新。</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11.在提前下达2020年度省级地下水超采非农作物替代农作物项目补助资金方面，落实了地下水超采综合治理试点面积2500亩，涉及全县的3个乡镇、5个村、8个小班。</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12.在通道绿化、绿色走廊建设（2019年度）方面，</w:t>
      </w:r>
      <w:r>
        <w:rPr>
          <w:rFonts w:hint="eastAsia" w:ascii="仿宋" w:hAnsi="仿宋" w:eastAsia="仿宋" w:cs="仿宋"/>
          <w:sz w:val="32"/>
          <w:szCs w:val="32"/>
          <w:highlight w:val="none"/>
          <w:lang w:eastAsia="zh-CN"/>
        </w:rPr>
        <w:t>完成</w:t>
      </w:r>
      <w:r>
        <w:rPr>
          <w:rFonts w:hint="eastAsia" w:ascii="仿宋" w:hAnsi="仿宋" w:eastAsia="仿宋" w:cs="仿宋"/>
          <w:sz w:val="32"/>
          <w:szCs w:val="32"/>
          <w:highlight w:val="none"/>
          <w:lang w:val="en-US" w:eastAsia="zh-CN"/>
        </w:rPr>
        <w:t>2012年-2015年通道绿化（不包括邢衡高速绿化）10524.6035亩；2014年邢衡高速绿化面积1457.431亩；2014-2015年环县城绿化面积317.34亩；2016年经济林建设面积1217.6亩。</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黑体" w:hAnsi="黑体" w:eastAsia="黑体" w:cs="黑体"/>
          <w:color w:val="auto"/>
          <w:sz w:val="32"/>
          <w:szCs w:val="32"/>
          <w:lang w:val="en-US" w:eastAsia="zh-CN"/>
        </w:rPr>
      </w:pPr>
      <w:r>
        <w:rPr>
          <w:rFonts w:hint="default" w:ascii="黑体" w:hAnsi="黑体" w:eastAsia="黑体" w:cs="黑体"/>
          <w:color w:val="auto"/>
          <w:sz w:val="32"/>
          <w:szCs w:val="32"/>
          <w:lang w:val="en-US" w:eastAsia="zh-CN"/>
        </w:rPr>
        <w:t>五、存在的问题与建议</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（一）存在的问题</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1.对项目绩效目标的设定和各项指标的理解、认识不到位，导致项目绩效目标不够明确和细化。</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2.个别股室负责人绩效管理意识不强，对绩效考评工作认识不够，认为绩效考评工作只是财务部门的事情</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对业务的学习还有所不足。</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default" w:ascii="楷体" w:hAnsi="楷体" w:eastAsia="楷体" w:cs="楷体"/>
          <w:b/>
          <w:bCs/>
          <w:color w:val="auto"/>
          <w:sz w:val="32"/>
          <w:szCs w:val="32"/>
          <w:lang w:val="en-US" w:eastAsia="zh-CN"/>
        </w:rPr>
      </w:pPr>
      <w:r>
        <w:rPr>
          <w:rFonts w:hint="default" w:ascii="楷体" w:hAnsi="楷体" w:eastAsia="楷体" w:cs="楷体"/>
          <w:b/>
          <w:bCs/>
          <w:color w:val="auto"/>
          <w:sz w:val="32"/>
          <w:szCs w:val="32"/>
          <w:lang w:val="en-US" w:eastAsia="zh-CN"/>
        </w:rPr>
        <w:t>（二）改进举措和建议</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部门整体绩效考评是一项系统性、全局性的工作，需要领导的重视，全员参与，科学考评，注重实绩。针对部门整体支出绩效评价工作中存在的问题，</w:t>
      </w:r>
      <w:r>
        <w:rPr>
          <w:rFonts w:hint="eastAsia" w:ascii="仿宋" w:hAnsi="仿宋" w:eastAsia="仿宋" w:cs="仿宋"/>
          <w:sz w:val="32"/>
          <w:szCs w:val="32"/>
          <w:lang w:val="en-US" w:eastAsia="zh-CN"/>
        </w:rPr>
        <w:t>我局将</w:t>
      </w:r>
      <w:r>
        <w:rPr>
          <w:rFonts w:hint="default" w:ascii="仿宋" w:hAnsi="仿宋" w:eastAsia="仿宋" w:cs="仿宋"/>
          <w:sz w:val="32"/>
          <w:szCs w:val="32"/>
          <w:lang w:val="en-US" w:eastAsia="zh-CN"/>
        </w:rPr>
        <w:t>提高对预算绩效管理的认识，加强预算编制的科学性、合理性,让预算编制更贴合实际，使项目预算与工作结合更加紧密</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充分理解财政绩效评价指标体系，注重绩效目标，评价指标的关联性，依据部门职责和年度工作重点，更加科学合理地确定部门绩效目标和评价目标。</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六、绩效公开</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仿宋" w:hAnsi="仿宋" w:eastAsia="宋体" w:cs="仿宋"/>
          <w:sz w:val="32"/>
          <w:szCs w:val="32"/>
          <w:highlight w:val="none"/>
          <w:lang w:val="en-US" w:eastAsia="zh-CN"/>
        </w:rPr>
      </w:pPr>
      <w:r>
        <w:rPr>
          <w:rFonts w:hint="eastAsia" w:ascii="仿宋" w:hAnsi="仿宋" w:eastAsia="仿宋" w:cs="仿宋"/>
          <w:sz w:val="32"/>
          <w:szCs w:val="32"/>
          <w:highlight w:val="none"/>
          <w:lang w:val="en-US" w:eastAsia="zh-CN"/>
        </w:rPr>
        <w:t>本次绩效自评已在预决算公开网进行公开</w:t>
      </w:r>
      <w:r>
        <w:rPr>
          <w:rFonts w:hint="eastAsia" w:ascii="宋体" w:hAnsi="宋体" w:eastAsia="宋体" w:cs="宋体"/>
          <w:color w:val="auto"/>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rPr>
          <w:rFonts w:hint="default"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rPr>
          <w:rFonts w:hint="default"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righ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righ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2021年4月13日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716563"/>
    <w:rsid w:val="003B73FE"/>
    <w:rsid w:val="008728CE"/>
    <w:rsid w:val="00CE4C71"/>
    <w:rsid w:val="01160AA2"/>
    <w:rsid w:val="01955EC3"/>
    <w:rsid w:val="019C018F"/>
    <w:rsid w:val="022C5C62"/>
    <w:rsid w:val="023006AA"/>
    <w:rsid w:val="02907F52"/>
    <w:rsid w:val="02B04484"/>
    <w:rsid w:val="02E57127"/>
    <w:rsid w:val="03110CE4"/>
    <w:rsid w:val="035149AB"/>
    <w:rsid w:val="03FE5A1B"/>
    <w:rsid w:val="04214CBF"/>
    <w:rsid w:val="04583BBC"/>
    <w:rsid w:val="04606CB4"/>
    <w:rsid w:val="04770D92"/>
    <w:rsid w:val="049E0094"/>
    <w:rsid w:val="04AF4AFC"/>
    <w:rsid w:val="053911EA"/>
    <w:rsid w:val="057A2ABE"/>
    <w:rsid w:val="0585186F"/>
    <w:rsid w:val="058671A1"/>
    <w:rsid w:val="06015A8B"/>
    <w:rsid w:val="06B50C02"/>
    <w:rsid w:val="06D271F6"/>
    <w:rsid w:val="077C09BA"/>
    <w:rsid w:val="07F91B8A"/>
    <w:rsid w:val="0889107C"/>
    <w:rsid w:val="08913B83"/>
    <w:rsid w:val="0A595E86"/>
    <w:rsid w:val="0A877610"/>
    <w:rsid w:val="0AB64173"/>
    <w:rsid w:val="0AEB2A71"/>
    <w:rsid w:val="0AF106A0"/>
    <w:rsid w:val="0AF33878"/>
    <w:rsid w:val="0B4A2973"/>
    <w:rsid w:val="0BE01101"/>
    <w:rsid w:val="0BE85CBE"/>
    <w:rsid w:val="0C8A39DD"/>
    <w:rsid w:val="0CB563AB"/>
    <w:rsid w:val="0CC92D5B"/>
    <w:rsid w:val="0CDC6A67"/>
    <w:rsid w:val="0D0D5121"/>
    <w:rsid w:val="0D3A0AFF"/>
    <w:rsid w:val="0D49152D"/>
    <w:rsid w:val="0D8667CC"/>
    <w:rsid w:val="0D951A93"/>
    <w:rsid w:val="0DA745D0"/>
    <w:rsid w:val="0DB15CB7"/>
    <w:rsid w:val="0DDF5B81"/>
    <w:rsid w:val="0E246290"/>
    <w:rsid w:val="0F0858FE"/>
    <w:rsid w:val="0F895299"/>
    <w:rsid w:val="1042676C"/>
    <w:rsid w:val="104633DE"/>
    <w:rsid w:val="10A66866"/>
    <w:rsid w:val="10B7660A"/>
    <w:rsid w:val="10F72049"/>
    <w:rsid w:val="10FE4137"/>
    <w:rsid w:val="11017719"/>
    <w:rsid w:val="117A5F93"/>
    <w:rsid w:val="131F7E48"/>
    <w:rsid w:val="137D7CF1"/>
    <w:rsid w:val="13D905A6"/>
    <w:rsid w:val="13EB726E"/>
    <w:rsid w:val="13FB58CF"/>
    <w:rsid w:val="1416365D"/>
    <w:rsid w:val="14545CA9"/>
    <w:rsid w:val="14916B0E"/>
    <w:rsid w:val="1515091D"/>
    <w:rsid w:val="15894437"/>
    <w:rsid w:val="158E39CA"/>
    <w:rsid w:val="15BF20B4"/>
    <w:rsid w:val="15CC4EF5"/>
    <w:rsid w:val="168F14AC"/>
    <w:rsid w:val="16921706"/>
    <w:rsid w:val="16C44336"/>
    <w:rsid w:val="16D8747B"/>
    <w:rsid w:val="17017574"/>
    <w:rsid w:val="180A064A"/>
    <w:rsid w:val="19386B4C"/>
    <w:rsid w:val="198C31DA"/>
    <w:rsid w:val="19A91251"/>
    <w:rsid w:val="1A5270FE"/>
    <w:rsid w:val="1A605EAC"/>
    <w:rsid w:val="1AD72723"/>
    <w:rsid w:val="1B1354B3"/>
    <w:rsid w:val="1B34005F"/>
    <w:rsid w:val="1B36238A"/>
    <w:rsid w:val="1B7B4408"/>
    <w:rsid w:val="1BA92435"/>
    <w:rsid w:val="1BFA714B"/>
    <w:rsid w:val="1C3413E6"/>
    <w:rsid w:val="1D0D0933"/>
    <w:rsid w:val="1D4F105C"/>
    <w:rsid w:val="1D5B6383"/>
    <w:rsid w:val="1DCD5980"/>
    <w:rsid w:val="1EE15DAB"/>
    <w:rsid w:val="1F1B18AC"/>
    <w:rsid w:val="1F8675B4"/>
    <w:rsid w:val="1FE17A92"/>
    <w:rsid w:val="20462615"/>
    <w:rsid w:val="20A769C5"/>
    <w:rsid w:val="20C9027F"/>
    <w:rsid w:val="2101188F"/>
    <w:rsid w:val="218B0A9D"/>
    <w:rsid w:val="220A47E1"/>
    <w:rsid w:val="22625660"/>
    <w:rsid w:val="22827C71"/>
    <w:rsid w:val="23223B27"/>
    <w:rsid w:val="23952691"/>
    <w:rsid w:val="23F4286A"/>
    <w:rsid w:val="245171B3"/>
    <w:rsid w:val="24CB1701"/>
    <w:rsid w:val="25016253"/>
    <w:rsid w:val="255D22C3"/>
    <w:rsid w:val="25965773"/>
    <w:rsid w:val="25C07C2D"/>
    <w:rsid w:val="25D263E7"/>
    <w:rsid w:val="26246DB6"/>
    <w:rsid w:val="26DE6B43"/>
    <w:rsid w:val="27033DBA"/>
    <w:rsid w:val="28623642"/>
    <w:rsid w:val="286E4AAB"/>
    <w:rsid w:val="287C77D4"/>
    <w:rsid w:val="296B776C"/>
    <w:rsid w:val="29E85E10"/>
    <w:rsid w:val="2A296854"/>
    <w:rsid w:val="2A3661DE"/>
    <w:rsid w:val="2A515C3F"/>
    <w:rsid w:val="2C7E332E"/>
    <w:rsid w:val="2C8876D1"/>
    <w:rsid w:val="2CAF306A"/>
    <w:rsid w:val="2CE771DF"/>
    <w:rsid w:val="2D6400AF"/>
    <w:rsid w:val="2D9854C4"/>
    <w:rsid w:val="2DA6053E"/>
    <w:rsid w:val="2DDF3412"/>
    <w:rsid w:val="2E245900"/>
    <w:rsid w:val="2E6D4DBD"/>
    <w:rsid w:val="2E800A35"/>
    <w:rsid w:val="2EB30B4B"/>
    <w:rsid w:val="2EC81D1A"/>
    <w:rsid w:val="2F5E5706"/>
    <w:rsid w:val="2FC347D5"/>
    <w:rsid w:val="2FE661A7"/>
    <w:rsid w:val="300B1AA7"/>
    <w:rsid w:val="300E30D0"/>
    <w:rsid w:val="30951090"/>
    <w:rsid w:val="3165476B"/>
    <w:rsid w:val="33161B98"/>
    <w:rsid w:val="33302BAC"/>
    <w:rsid w:val="33A91627"/>
    <w:rsid w:val="33AB423D"/>
    <w:rsid w:val="33C3672B"/>
    <w:rsid w:val="33E62981"/>
    <w:rsid w:val="33E87BB2"/>
    <w:rsid w:val="34C300C0"/>
    <w:rsid w:val="36054857"/>
    <w:rsid w:val="36602CD0"/>
    <w:rsid w:val="367262FE"/>
    <w:rsid w:val="367C7D99"/>
    <w:rsid w:val="3741658F"/>
    <w:rsid w:val="387E5EFD"/>
    <w:rsid w:val="389D2CF2"/>
    <w:rsid w:val="38F86135"/>
    <w:rsid w:val="391D78AB"/>
    <w:rsid w:val="398E12FB"/>
    <w:rsid w:val="39E4583B"/>
    <w:rsid w:val="3A3C44F3"/>
    <w:rsid w:val="3AC2591E"/>
    <w:rsid w:val="3AC44741"/>
    <w:rsid w:val="3AE00A8A"/>
    <w:rsid w:val="3BE55DC3"/>
    <w:rsid w:val="3C0F2DC7"/>
    <w:rsid w:val="3CD134B7"/>
    <w:rsid w:val="3CEE5E73"/>
    <w:rsid w:val="3D716563"/>
    <w:rsid w:val="3E4C68A7"/>
    <w:rsid w:val="3E4E645A"/>
    <w:rsid w:val="3EA25418"/>
    <w:rsid w:val="40C049F7"/>
    <w:rsid w:val="416D0C37"/>
    <w:rsid w:val="41FC67FF"/>
    <w:rsid w:val="422537BA"/>
    <w:rsid w:val="423A56DF"/>
    <w:rsid w:val="426E6EAC"/>
    <w:rsid w:val="42943708"/>
    <w:rsid w:val="43410C5D"/>
    <w:rsid w:val="436430B3"/>
    <w:rsid w:val="43BE599D"/>
    <w:rsid w:val="43CB5CB4"/>
    <w:rsid w:val="4469363D"/>
    <w:rsid w:val="446F78DB"/>
    <w:rsid w:val="454A5D54"/>
    <w:rsid w:val="454E4A48"/>
    <w:rsid w:val="45A40DD4"/>
    <w:rsid w:val="462B06CB"/>
    <w:rsid w:val="46AE7589"/>
    <w:rsid w:val="471F575C"/>
    <w:rsid w:val="4811730F"/>
    <w:rsid w:val="482B2C39"/>
    <w:rsid w:val="483B45E0"/>
    <w:rsid w:val="48407681"/>
    <w:rsid w:val="48772805"/>
    <w:rsid w:val="48EB1188"/>
    <w:rsid w:val="49164340"/>
    <w:rsid w:val="49211162"/>
    <w:rsid w:val="496531E8"/>
    <w:rsid w:val="49F43130"/>
    <w:rsid w:val="4A3F36D1"/>
    <w:rsid w:val="4AD94432"/>
    <w:rsid w:val="4B1E6689"/>
    <w:rsid w:val="4B870858"/>
    <w:rsid w:val="4B910D29"/>
    <w:rsid w:val="4C225CA8"/>
    <w:rsid w:val="4C5359A0"/>
    <w:rsid w:val="4CBF0E5E"/>
    <w:rsid w:val="4D351076"/>
    <w:rsid w:val="4D715F29"/>
    <w:rsid w:val="4DC34A0C"/>
    <w:rsid w:val="4DC5631A"/>
    <w:rsid w:val="4E020D03"/>
    <w:rsid w:val="4E225906"/>
    <w:rsid w:val="4EFB0DFF"/>
    <w:rsid w:val="4FFF174C"/>
    <w:rsid w:val="500C4C40"/>
    <w:rsid w:val="5066310C"/>
    <w:rsid w:val="50824E68"/>
    <w:rsid w:val="52AE69F8"/>
    <w:rsid w:val="537356D8"/>
    <w:rsid w:val="537B5BD4"/>
    <w:rsid w:val="539339B2"/>
    <w:rsid w:val="53B36BD2"/>
    <w:rsid w:val="53B92B6D"/>
    <w:rsid w:val="53D057F2"/>
    <w:rsid w:val="545262F5"/>
    <w:rsid w:val="54C76A44"/>
    <w:rsid w:val="5525171B"/>
    <w:rsid w:val="55B3341A"/>
    <w:rsid w:val="562A7CCE"/>
    <w:rsid w:val="568E4766"/>
    <w:rsid w:val="56B67BA6"/>
    <w:rsid w:val="56E83141"/>
    <w:rsid w:val="570642BB"/>
    <w:rsid w:val="57343529"/>
    <w:rsid w:val="57E332A4"/>
    <w:rsid w:val="589D0BED"/>
    <w:rsid w:val="58AB0A14"/>
    <w:rsid w:val="59011718"/>
    <w:rsid w:val="590A0B5B"/>
    <w:rsid w:val="590A2635"/>
    <w:rsid w:val="59B5709D"/>
    <w:rsid w:val="59F6558F"/>
    <w:rsid w:val="5A1C70E8"/>
    <w:rsid w:val="5A352312"/>
    <w:rsid w:val="5A6C5D42"/>
    <w:rsid w:val="5AFB5F89"/>
    <w:rsid w:val="5C132D59"/>
    <w:rsid w:val="5C2536DB"/>
    <w:rsid w:val="5CF500A4"/>
    <w:rsid w:val="5D0650AC"/>
    <w:rsid w:val="5D9062DA"/>
    <w:rsid w:val="5E7A2482"/>
    <w:rsid w:val="5E7A3447"/>
    <w:rsid w:val="5E8F71A4"/>
    <w:rsid w:val="5EB07AE6"/>
    <w:rsid w:val="5EE46508"/>
    <w:rsid w:val="5F09300E"/>
    <w:rsid w:val="5F815FA7"/>
    <w:rsid w:val="5FCB56A2"/>
    <w:rsid w:val="605C5CEB"/>
    <w:rsid w:val="6061106B"/>
    <w:rsid w:val="60E8438B"/>
    <w:rsid w:val="61182D3A"/>
    <w:rsid w:val="61290DAE"/>
    <w:rsid w:val="61787233"/>
    <w:rsid w:val="617C56E3"/>
    <w:rsid w:val="61BE385F"/>
    <w:rsid w:val="61F045CA"/>
    <w:rsid w:val="62313C40"/>
    <w:rsid w:val="62592B7A"/>
    <w:rsid w:val="625D0745"/>
    <w:rsid w:val="62FB78F0"/>
    <w:rsid w:val="62FE3D93"/>
    <w:rsid w:val="641A210E"/>
    <w:rsid w:val="643B00D5"/>
    <w:rsid w:val="64462E61"/>
    <w:rsid w:val="648B6591"/>
    <w:rsid w:val="64A679D0"/>
    <w:rsid w:val="64D3480F"/>
    <w:rsid w:val="650F45A5"/>
    <w:rsid w:val="654F2980"/>
    <w:rsid w:val="655604F9"/>
    <w:rsid w:val="65C765B6"/>
    <w:rsid w:val="660935E3"/>
    <w:rsid w:val="664E28BA"/>
    <w:rsid w:val="669C70DE"/>
    <w:rsid w:val="66B52B81"/>
    <w:rsid w:val="66FB31C7"/>
    <w:rsid w:val="670C6B59"/>
    <w:rsid w:val="677F1588"/>
    <w:rsid w:val="67D56AB1"/>
    <w:rsid w:val="68705DAD"/>
    <w:rsid w:val="687E76C0"/>
    <w:rsid w:val="68D470A3"/>
    <w:rsid w:val="6969652B"/>
    <w:rsid w:val="6A9E15D5"/>
    <w:rsid w:val="6B2574A8"/>
    <w:rsid w:val="6B2823E0"/>
    <w:rsid w:val="6B8F2676"/>
    <w:rsid w:val="6BD81FCD"/>
    <w:rsid w:val="6C260574"/>
    <w:rsid w:val="6C410BED"/>
    <w:rsid w:val="6C906FF9"/>
    <w:rsid w:val="6CF37EFB"/>
    <w:rsid w:val="6DE33C51"/>
    <w:rsid w:val="6E1113D6"/>
    <w:rsid w:val="6E4B4FF5"/>
    <w:rsid w:val="6E875641"/>
    <w:rsid w:val="6E8B255A"/>
    <w:rsid w:val="6F09396E"/>
    <w:rsid w:val="70210666"/>
    <w:rsid w:val="704D0228"/>
    <w:rsid w:val="709C64C3"/>
    <w:rsid w:val="70C77632"/>
    <w:rsid w:val="710B4569"/>
    <w:rsid w:val="72387847"/>
    <w:rsid w:val="729669AF"/>
    <w:rsid w:val="73523272"/>
    <w:rsid w:val="73EE677D"/>
    <w:rsid w:val="74721B9F"/>
    <w:rsid w:val="75B1394B"/>
    <w:rsid w:val="75B20047"/>
    <w:rsid w:val="7691463E"/>
    <w:rsid w:val="77267188"/>
    <w:rsid w:val="772F6119"/>
    <w:rsid w:val="77456EAE"/>
    <w:rsid w:val="78D166F3"/>
    <w:rsid w:val="78D731CE"/>
    <w:rsid w:val="79185470"/>
    <w:rsid w:val="79A31FD1"/>
    <w:rsid w:val="79A32A54"/>
    <w:rsid w:val="7A8D2C14"/>
    <w:rsid w:val="7A972BC9"/>
    <w:rsid w:val="7AF82DAF"/>
    <w:rsid w:val="7B1B7C87"/>
    <w:rsid w:val="7B287013"/>
    <w:rsid w:val="7B466C8A"/>
    <w:rsid w:val="7B5817BD"/>
    <w:rsid w:val="7B8D1A74"/>
    <w:rsid w:val="7BD95E3E"/>
    <w:rsid w:val="7BEC325D"/>
    <w:rsid w:val="7C1C5712"/>
    <w:rsid w:val="7C3D0C23"/>
    <w:rsid w:val="7CEE197E"/>
    <w:rsid w:val="7D5E22D6"/>
    <w:rsid w:val="7D6A0ABC"/>
    <w:rsid w:val="7DC217C1"/>
    <w:rsid w:val="7F7C5F99"/>
    <w:rsid w:val="7F9055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w:basedOn w:val="1"/>
    <w:next w:val="1"/>
    <w:unhideWhenUsed/>
    <w:qFormat/>
    <w:uiPriority w:val="99"/>
    <w:pPr>
      <w:spacing w:line="580" w:lineRule="exact"/>
      <w:ind w:firstLine="640" w:firstLineChars="200"/>
    </w:pPr>
    <w:rPr>
      <w:rFonts w:ascii="仿宋_GB2312" w:eastAsia="仿宋_GB2312"/>
      <w:color w:val="FF0000"/>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6">
    <w:name w:val="Body Text First Indent 2"/>
    <w:basedOn w:val="2"/>
    <w:next w:val="1"/>
    <w:unhideWhenUsed/>
    <w:qFormat/>
    <w:uiPriority w:val="99"/>
    <w:pPr>
      <w:ind w:firstLine="420" w:firstLineChars="200"/>
    </w:pPr>
  </w:style>
  <w:style w:type="character" w:styleId="9">
    <w:name w:val="Hyperlink"/>
    <w:basedOn w:val="8"/>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2020-05-27T09:03:00Z</dcterms:created>
  <dc:creator>lenovo</dc:creator>
  <cp:lastModifiedBy>老陈家的大东家</cp:lastModifiedBy>
  <cp:lastPrinted>2020-06-03T01:59:00Z</cp:lastPrinted>
  <dcterms:modified xsi:type="dcterms:W3CDTF">2021-04-13T08:50:40Z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B294F59D4C934151A6AAB3D92D9BC314</vt:lpwstr>
  </property>
</Properties>
</file>