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中共隆尧县委办公室</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按照《预算法》、《地方预决算公开操作规程》和《河北省省级预算公开办法》规定，现将中共隆尧县委办公室2020年部门预算公开如下：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adjustRightInd w:val="0"/>
        <w:spacing w:line="600" w:lineRule="exact"/>
        <w:rPr>
          <w:rFonts w:hint="eastAsia"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adjustRightIn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（一）中共隆尧县委国家安全委员会办公室承担委员会具体工作，贯彻落实党中央和省委、市委、县委关于国家安全工作的各项决策部署，协调督促有关方面落实委员会决定事项、工作部署和要求等。</w:t>
      </w:r>
    </w:p>
    <w:p>
      <w:pPr>
        <w:adjustRightInd w:val="0"/>
        <w:spacing w:line="600" w:lineRule="exact"/>
        <w:rPr>
          <w:rFonts w:ascii="仿宋" w:hAnsi="仿宋" w:eastAsia="仿宋" w:cs="仿宋"/>
          <w:sz w:val="32"/>
          <w:szCs w:val="32"/>
        </w:rPr>
      </w:pPr>
      <w:r>
        <w:rPr>
          <w:rFonts w:hint="eastAsia" w:ascii="仿宋" w:hAnsi="仿宋" w:eastAsia="仿宋" w:cs="仿宋"/>
          <w:sz w:val="32"/>
          <w:szCs w:val="32"/>
        </w:rPr>
        <w:t xml:space="preserve">    （二）中共隆尧县委全面深化改革委员会办公室承担委员会具体工作，贯彻落实党中央和省委、市委、县委关于全面深化改革工作的各项决策部署，协调督促有关方面落实委员会决定事项、工作部署和要求等。</w:t>
      </w:r>
    </w:p>
    <w:p>
      <w:pPr>
        <w:adjustRightInd w:val="0"/>
        <w:spacing w:line="600" w:lineRule="exact"/>
        <w:rPr>
          <w:rFonts w:ascii="仿宋" w:hAnsi="仿宋" w:eastAsia="仿宋" w:cs="仿宋"/>
          <w:sz w:val="32"/>
          <w:szCs w:val="32"/>
        </w:rPr>
      </w:pPr>
      <w:r>
        <w:rPr>
          <w:rFonts w:hint="eastAsia" w:ascii="仿宋" w:hAnsi="仿宋" w:eastAsia="仿宋" w:cs="仿宋"/>
          <w:sz w:val="32"/>
          <w:szCs w:val="32"/>
        </w:rPr>
        <w:t xml:space="preserve">    （三）县委办公室的主要职责是：</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1、负责推动党中央和省委、市委、县委决策部署的落实，按照县委要求协调有关方面开展工作，承担县委运行保障具体事务。</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2、负责县委和县委办公室文件、县委领导讲话稿的起草、修改等工作。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3、负责党中央和省委、市委、县委重要决策部署贯彻落实的督促检查，中央和省委、市委、县委领导批示和交办事项的催办反馈，县委统一部署的重大专项活动的推进落实。</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4、负责收集和处理信息、反映动态；负责社情民意的搜集、整理和编报工作。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5、根据县委安排部署，组织力量对经济建设、政治建设、文化建设、社会建设、生态文明建设和党的建设等方面的重大问题进行调查研究，提出意见和建议。</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6、组织撰写宣传、阐释党的路线方针政策和县委工作思路、部署要求的文章。</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7、负责县委全委会、县委常委会和县委其他重要会议的</w:t>
      </w:r>
      <w:r>
        <w:rPr>
          <w:rFonts w:hint="eastAsia" w:ascii="仿宋" w:hAnsi="仿宋" w:eastAsia="仿宋" w:cs="仿宋"/>
          <w:spacing w:val="6"/>
          <w:sz w:val="32"/>
          <w:szCs w:val="32"/>
        </w:rPr>
        <w:t>会务工作；负责县委领导参加重大活动和日常工作活动的组织安排</w:t>
      </w:r>
      <w:r>
        <w:rPr>
          <w:rFonts w:hint="eastAsia" w:ascii="仿宋" w:hAnsi="仿宋" w:eastAsia="仿宋" w:cs="仿宋"/>
          <w:sz w:val="32"/>
          <w:szCs w:val="32"/>
        </w:rPr>
        <w:t>。</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8、负责县委日常文书处理；负责县委文件和县委办公室代县委行文的审核工作；负责县委制定规范性文件的服务工作；负责统筹协调和督促指导全县党务公开工作。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9、负责全县档案事业宏观管理和执法复议、监督指导等工作。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10、负责全县公务接待机构的业务指导和重大接待活动的服务保障工作。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11、负责县委机关行政后勤、安全保卫和县委办公室财务管理工作。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12、负责县机关事务的行政管理工作。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13、承担县委保密委员会和县密码工作领导小组的日常工作。负责全县保密、密码工作发展规划的拟订和组织实施，制定相关规章制度；对全县密码工作实施业务领导，对全县党政机关及经济、科学等领域保密工作实施业务指导；负责通信和计算机网络的保密监督；负责全县密码的装备、使用和管理；负责失泄密事件的查处工作；负责全县电子政务内网、党委系统信息化等建设和管理工作；负责全县保密机要干部教育培训工作；承办县委保密委员会和县密码工作领导小组交办的其他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14、完成县委交办的其他任务。</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（四）机关事务管理局职责</w:t>
      </w:r>
    </w:p>
    <w:p>
      <w:pPr>
        <w:rPr>
          <w:rFonts w:ascii="仿宋" w:hAnsi="仿宋" w:eastAsia="仿宋" w:cs="仿宋"/>
          <w:sz w:val="32"/>
          <w:szCs w:val="32"/>
        </w:rPr>
      </w:pPr>
      <w:r>
        <w:rPr>
          <w:rFonts w:hint="eastAsia" w:ascii="仿宋" w:hAnsi="仿宋" w:eastAsia="仿宋" w:cs="仿宋"/>
          <w:sz w:val="32"/>
          <w:szCs w:val="32"/>
        </w:rPr>
        <w:t xml:space="preserve">    1、研究制定本县各级机关事务管理工作的政策措施并组织实施；</w:t>
      </w:r>
    </w:p>
    <w:p>
      <w:pPr>
        <w:rPr>
          <w:rFonts w:ascii="仿宋" w:hAnsi="仿宋" w:eastAsia="仿宋" w:cs="仿宋"/>
          <w:sz w:val="32"/>
          <w:szCs w:val="32"/>
        </w:rPr>
      </w:pPr>
      <w:r>
        <w:rPr>
          <w:rFonts w:hint="eastAsia" w:ascii="仿宋" w:hAnsi="仿宋" w:eastAsia="仿宋" w:cs="仿宋"/>
          <w:sz w:val="32"/>
          <w:szCs w:val="32"/>
        </w:rPr>
        <w:t xml:space="preserve">    2、负责指定区域内的机关后勤管理和服务工作；</w:t>
      </w:r>
    </w:p>
    <w:p>
      <w:pPr>
        <w:rPr>
          <w:rFonts w:ascii="仿宋" w:hAnsi="仿宋" w:eastAsia="仿宋" w:cs="仿宋"/>
          <w:sz w:val="32"/>
          <w:szCs w:val="32"/>
        </w:rPr>
      </w:pPr>
      <w:r>
        <w:rPr>
          <w:rFonts w:hint="eastAsia" w:ascii="仿宋" w:hAnsi="仿宋" w:eastAsia="仿宋" w:cs="仿宋"/>
          <w:sz w:val="32"/>
          <w:szCs w:val="32"/>
        </w:rPr>
        <w:t xml:space="preserve">    3、负责车改后保留公务用车的管理、调度；</w:t>
      </w:r>
    </w:p>
    <w:p>
      <w:pPr>
        <w:rPr>
          <w:rFonts w:ascii="仿宋" w:hAnsi="仿宋" w:eastAsia="仿宋" w:cs="仿宋"/>
          <w:sz w:val="32"/>
          <w:szCs w:val="32"/>
        </w:rPr>
      </w:pPr>
      <w:r>
        <w:rPr>
          <w:rFonts w:hint="eastAsia" w:ascii="仿宋" w:hAnsi="仿宋" w:eastAsia="仿宋" w:cs="仿宋"/>
          <w:sz w:val="32"/>
          <w:szCs w:val="32"/>
        </w:rPr>
        <w:t xml:space="preserve">    4、负责机关办公用房配置管理； </w:t>
      </w:r>
    </w:p>
    <w:p>
      <w:pPr>
        <w:rPr>
          <w:rFonts w:ascii="仿宋" w:hAnsi="仿宋" w:eastAsia="仿宋" w:cs="仿宋"/>
          <w:sz w:val="32"/>
          <w:szCs w:val="32"/>
        </w:rPr>
      </w:pPr>
      <w:r>
        <w:rPr>
          <w:rFonts w:hint="eastAsia" w:ascii="仿宋" w:hAnsi="仿宋" w:eastAsia="仿宋" w:cs="仿宋"/>
          <w:sz w:val="32"/>
          <w:szCs w:val="32"/>
        </w:rPr>
        <w:t xml:space="preserve">    5、负责全县公共机构资源节约的工作。</w:t>
      </w:r>
    </w:p>
    <w:p>
      <w:pPr>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pPr w:leftFromText="180" w:rightFromText="180" w:vertAnchor="text" w:horzAnchor="page" w:tblpX="1423" w:tblpY="189"/>
        <w:tblOverlap w:val="never"/>
        <w:tblW w:w="916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925"/>
        <w:gridCol w:w="1470"/>
        <w:gridCol w:w="1500"/>
        <w:gridCol w:w="226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8" w:hRule="atLeast"/>
        </w:trPr>
        <w:tc>
          <w:tcPr>
            <w:tcW w:w="3925" w:type="dxa"/>
          </w:tcPr>
          <w:p>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单位名称</w:t>
            </w:r>
          </w:p>
        </w:tc>
        <w:tc>
          <w:tcPr>
            <w:tcW w:w="1470" w:type="dxa"/>
          </w:tcPr>
          <w:p>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单位性质</w:t>
            </w:r>
          </w:p>
        </w:tc>
        <w:tc>
          <w:tcPr>
            <w:tcW w:w="1500" w:type="dxa"/>
          </w:tcPr>
          <w:p>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单位规格</w:t>
            </w:r>
          </w:p>
        </w:tc>
        <w:tc>
          <w:tcPr>
            <w:tcW w:w="2265" w:type="dxa"/>
          </w:tcPr>
          <w:p>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0" w:hRule="atLeast"/>
        </w:trPr>
        <w:tc>
          <w:tcPr>
            <w:tcW w:w="3925"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中共隆尧县委办公室（机关）</w:t>
            </w:r>
          </w:p>
        </w:tc>
        <w:tc>
          <w:tcPr>
            <w:tcW w:w="1470"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行政</w:t>
            </w:r>
          </w:p>
        </w:tc>
        <w:tc>
          <w:tcPr>
            <w:tcW w:w="1500"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正科级</w:t>
            </w:r>
          </w:p>
        </w:tc>
        <w:tc>
          <w:tcPr>
            <w:tcW w:w="2265"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8" w:hRule="atLeast"/>
        </w:trPr>
        <w:tc>
          <w:tcPr>
            <w:tcW w:w="3925"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sz w:val="28"/>
                <w:szCs w:val="28"/>
              </w:rPr>
              <w:t>中共隆尧县委办公室信息中心</w:t>
            </w:r>
          </w:p>
        </w:tc>
        <w:tc>
          <w:tcPr>
            <w:tcW w:w="1470"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事业</w:t>
            </w:r>
          </w:p>
        </w:tc>
        <w:tc>
          <w:tcPr>
            <w:tcW w:w="1500"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股级</w:t>
            </w:r>
          </w:p>
        </w:tc>
        <w:tc>
          <w:tcPr>
            <w:tcW w:w="2265"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3925"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sz w:val="28"/>
                <w:szCs w:val="28"/>
              </w:rPr>
              <w:t>隆尧县机关事务管理局</w:t>
            </w:r>
          </w:p>
        </w:tc>
        <w:tc>
          <w:tcPr>
            <w:tcW w:w="1470"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事业</w:t>
            </w:r>
          </w:p>
        </w:tc>
        <w:tc>
          <w:tcPr>
            <w:tcW w:w="1500"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副科级</w:t>
            </w:r>
          </w:p>
        </w:tc>
        <w:tc>
          <w:tcPr>
            <w:tcW w:w="2265"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w:t>
      </w: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r>
        <w:rPr>
          <w:rFonts w:hint="eastAsia" w:ascii="仿宋" w:hAnsi="仿宋" w:eastAsia="仿宋" w:cs="仿宋"/>
          <w:sz w:val="32"/>
          <w:szCs w:val="32"/>
        </w:rPr>
        <w:t>中国共产党隆尧县委员会办公室及</w:t>
      </w:r>
      <w:r>
        <w:rPr>
          <w:rFonts w:ascii="Times New Roman" w:hAnsi="Times New Roman" w:eastAsia="仿宋" w:cs="Times New Roman"/>
          <w:sz w:val="32"/>
          <w:szCs w:val="32"/>
        </w:rPr>
        <w:t>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反映本部门当年全部收入。2020年预算收入862.61万元，其中：一般公共预算收入862.61万元，基金预算收入0万元，财政专户核拨收入0万元，其他来源收入0万元。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共隆尧县委办公室年度部门预算中支出预算的总体情况。2020年部门支出预算为862.61万元，其中基本支出398.78万元，包括人员经费374.52万元和日常公用经费24.26万元；项目支出463.83万元，主要用于县委办行政运行223.18万元、专项业务26.65万元，机关事务管理局事业运行101.78万元，专项业务112.22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826.6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较2019年增加89.76万元，其中：基本支出增加109.23万元，主要是人员增加，相应增加人员经费和日常公用经费；项目支出减少19.47万元，主要是减少了公务接待费用和大型会议活动费用；其他支出无增减变化。</w:t>
      </w: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 xml:space="preserve">    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2020年，我部门机关运行经费共计安排24.26万元，</w:t>
      </w:r>
      <w:r>
        <w:rPr>
          <w:rFonts w:hint="eastAsia" w:ascii="仿宋" w:hAnsi="仿宋" w:eastAsia="仿宋" w:cs="Times New Roman"/>
          <w:sz w:val="32"/>
          <w:szCs w:val="32"/>
        </w:rPr>
        <w:t>主要用于保证机关正常运转的办公费、</w:t>
      </w:r>
      <w:r>
        <w:rPr>
          <w:rFonts w:hint="eastAsia" w:ascii="仿宋" w:hAnsi="仿宋" w:eastAsia="仿宋" w:cs="仿宋_GB2312"/>
          <w:color w:val="000000"/>
          <w:kern w:val="0"/>
          <w:sz w:val="32"/>
          <w:szCs w:val="32"/>
        </w:rPr>
        <w:t>工会经费、</w:t>
      </w:r>
      <w:r>
        <w:rPr>
          <w:rFonts w:hint="eastAsia" w:ascii="仿宋" w:hAnsi="仿宋" w:eastAsia="仿宋" w:cs="仿宋_GB2312"/>
          <w:sz w:val="32"/>
          <w:szCs w:val="32"/>
        </w:rPr>
        <w:t>福利费、</w:t>
      </w:r>
      <w:r>
        <w:rPr>
          <w:rFonts w:hint="eastAsia" w:ascii="仿宋" w:hAnsi="仿宋" w:eastAsia="仿宋" w:cs="仿宋_GB2312"/>
          <w:color w:val="000000"/>
          <w:kern w:val="0"/>
          <w:sz w:val="32"/>
          <w:szCs w:val="32"/>
        </w:rPr>
        <w:t>其他交通费用、其他商品和服务支出等</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黑体" w:hAnsi="黑体" w:eastAsia="黑体" w:cs="Times New Roman"/>
          <w:color w:val="auto"/>
          <w:sz w:val="32"/>
          <w:szCs w:val="32"/>
        </w:rPr>
      </w:pPr>
      <w:r>
        <w:rPr>
          <w:rFonts w:hint="eastAsia" w:ascii="Times New Roman" w:hAnsi="Times New Roman" w:eastAsia="仿宋" w:cs="Times New Roman"/>
          <w:sz w:val="32"/>
          <w:szCs w:val="32"/>
        </w:rPr>
        <w:t>2020年，我部门财政拨款“三公”经费预算安排115.26万元，其中：因公出国（境）费0万元</w:t>
      </w:r>
      <w:r>
        <w:rPr>
          <w:rFonts w:hint="eastAsia" w:ascii="Times New Roman" w:hAnsi="Times New Roman" w:eastAsia="仿宋" w:cs="Times New Roman"/>
          <w:sz w:val="32"/>
          <w:szCs w:val="32"/>
          <w:lang w:eastAsia="zh-CN"/>
        </w:rPr>
        <w:t>，与去年持平</w:t>
      </w:r>
      <w:r>
        <w:rPr>
          <w:rFonts w:hint="eastAsia" w:ascii="Times New Roman" w:hAnsi="Times New Roman" w:eastAsia="仿宋" w:cs="Times New Roman"/>
          <w:sz w:val="32"/>
          <w:szCs w:val="32"/>
        </w:rPr>
        <w:t>；公务用车购置及运维费97.5万元（其中：公务用车购置费0万元，</w:t>
      </w:r>
      <w:r>
        <w:rPr>
          <w:rFonts w:hint="eastAsia" w:ascii="Times New Roman" w:hAnsi="Times New Roman" w:eastAsia="仿宋" w:cs="Times New Roman"/>
          <w:sz w:val="32"/>
          <w:szCs w:val="32"/>
          <w:lang w:eastAsia="zh-CN"/>
        </w:rPr>
        <w:t>比去年减少</w:t>
      </w:r>
      <w:r>
        <w:rPr>
          <w:rFonts w:hint="eastAsia" w:ascii="Times New Roman" w:hAnsi="Times New Roman" w:eastAsia="仿宋" w:cs="Times New Roman"/>
          <w:sz w:val="32"/>
          <w:szCs w:val="32"/>
          <w:lang w:val="en-US" w:eastAsia="zh-CN"/>
        </w:rPr>
        <w:t>90万元</w:t>
      </w:r>
      <w:r>
        <w:rPr>
          <w:rFonts w:hint="eastAsia" w:ascii="Times New Roman" w:hAnsi="Times New Roman" w:eastAsia="仿宋" w:cs="Times New Roman"/>
          <w:sz w:val="32"/>
          <w:szCs w:val="32"/>
          <w:lang w:eastAsia="zh-CN"/>
        </w:rPr>
        <w:t>，主要是</w:t>
      </w:r>
      <w:r>
        <w:rPr>
          <w:rFonts w:hint="eastAsia" w:ascii="Times New Roman" w:hAnsi="Times New Roman" w:eastAsia="仿宋" w:cs="Times New Roman"/>
          <w:sz w:val="32"/>
          <w:szCs w:val="32"/>
          <w:lang w:val="en-US" w:eastAsia="zh-CN"/>
        </w:rPr>
        <w:t>2020年无新购置公务用车，</w:t>
      </w:r>
      <w:r>
        <w:rPr>
          <w:rFonts w:hint="eastAsia" w:ascii="Times New Roman" w:hAnsi="Times New Roman" w:eastAsia="仿宋" w:cs="Times New Roman"/>
          <w:color w:val="auto"/>
          <w:sz w:val="32"/>
          <w:szCs w:val="32"/>
        </w:rPr>
        <w:t>公务用车运行维护费97.5万元</w:t>
      </w:r>
      <w:r>
        <w:rPr>
          <w:rFonts w:hint="eastAsia" w:ascii="Times New Roman" w:hAnsi="Times New Roman" w:eastAsia="仿宋" w:cs="Times New Roman"/>
          <w:color w:val="auto"/>
          <w:sz w:val="32"/>
          <w:szCs w:val="32"/>
          <w:lang w:eastAsia="zh-CN"/>
        </w:rPr>
        <w:t>，比去年增加</w:t>
      </w:r>
      <w:bookmarkStart w:id="3" w:name="_GoBack"/>
      <w:bookmarkEnd w:id="3"/>
      <w:r>
        <w:rPr>
          <w:rFonts w:hint="eastAsia" w:ascii="Times New Roman" w:hAnsi="Times New Roman" w:eastAsia="仿宋" w:cs="Times New Roman"/>
          <w:color w:val="auto"/>
          <w:sz w:val="32"/>
          <w:szCs w:val="32"/>
          <w:lang w:val="en-US" w:eastAsia="zh-CN"/>
        </w:rPr>
        <w:t>21.5万元，增加22%，主要是机关事务管理局大气办租车费</w:t>
      </w:r>
      <w:r>
        <w:rPr>
          <w:rFonts w:hint="eastAsia" w:ascii="Times New Roman" w:hAnsi="Times New Roman" w:eastAsia="仿宋" w:cs="Times New Roman"/>
          <w:color w:val="auto"/>
          <w:sz w:val="32"/>
          <w:szCs w:val="32"/>
        </w:rPr>
        <w:t>)；公务接待费17.76万元</w:t>
      </w:r>
      <w:r>
        <w:rPr>
          <w:rFonts w:hint="eastAsia" w:ascii="Times New Roman" w:hAnsi="Times New Roman" w:eastAsia="仿宋" w:cs="Times New Roman"/>
          <w:color w:val="auto"/>
          <w:sz w:val="32"/>
          <w:szCs w:val="32"/>
          <w:lang w:eastAsia="zh-CN"/>
        </w:rPr>
        <w:t>，</w:t>
      </w:r>
      <w:r>
        <w:rPr>
          <w:rFonts w:hint="eastAsia" w:ascii="Times New Roman" w:hAnsi="Times New Roman" w:eastAsia="仿宋" w:cs="Times New Roman"/>
          <w:color w:val="auto"/>
          <w:sz w:val="32"/>
          <w:szCs w:val="32"/>
        </w:rPr>
        <w:t>公务接待费比去年减少9.85万元，</w:t>
      </w:r>
      <w:r>
        <w:rPr>
          <w:rFonts w:hint="eastAsia" w:ascii="Times New Roman" w:hAnsi="Times New Roman" w:eastAsia="仿宋" w:cs="Times New Roman"/>
          <w:color w:val="auto"/>
          <w:sz w:val="32"/>
          <w:szCs w:val="32"/>
          <w:lang w:eastAsia="zh-CN"/>
        </w:rPr>
        <w:t>减少</w:t>
      </w:r>
      <w:r>
        <w:rPr>
          <w:rFonts w:hint="eastAsia" w:ascii="Times New Roman" w:hAnsi="Times New Roman" w:eastAsia="仿宋" w:cs="Times New Roman"/>
          <w:color w:val="auto"/>
          <w:sz w:val="32"/>
          <w:szCs w:val="32"/>
          <w:lang w:val="en-US" w:eastAsia="zh-CN"/>
        </w:rPr>
        <w:t>36%，主要是</w:t>
      </w:r>
      <w:r>
        <w:rPr>
          <w:rFonts w:hint="eastAsia" w:ascii="Times New Roman" w:hAnsi="Times New Roman" w:eastAsia="仿宋" w:cs="Times New Roman"/>
          <w:color w:val="auto"/>
          <w:sz w:val="32"/>
          <w:szCs w:val="32"/>
        </w:rPr>
        <w:t>县委</w:t>
      </w:r>
      <w:r>
        <w:rPr>
          <w:rFonts w:hint="eastAsia" w:ascii="Times New Roman" w:hAnsi="Times New Roman" w:eastAsia="仿宋" w:cs="Times New Roman"/>
          <w:color w:val="auto"/>
          <w:sz w:val="32"/>
          <w:szCs w:val="32"/>
          <w:lang w:eastAsia="zh-CN"/>
        </w:rPr>
        <w:t>办俭省节约、压减开支，降低公务接待费用。</w:t>
      </w:r>
      <w:r>
        <w:rPr>
          <w:rFonts w:hint="eastAsia" w:ascii="黑体" w:hAnsi="黑体" w:eastAsia="黑体" w:cs="Times New Roman"/>
          <w:color w:val="auto"/>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新宋体" w:hAnsi="新宋体" w:eastAsia="新宋体"/>
          <w:sz w:val="32"/>
        </w:rPr>
        <w:t>2020年，全面学习宣传贯彻落实党的十九大、中央经济工作会和省市委全会精神及决策部署，以习近平新时代中国特色社会主义思想为统领，坚持稳中求进工作总基调，坚持新发展理念，按照高质量发展的要求，统筹推进“五位一体”总体布局和协调推进“四个全面”战略布局，坚持“走新路、有作为、创亮点、守底线”，深入推进“11446”发展思路和“135”发展布局。认真履行参谋、服务、协调三大职能，突出工作重点，创新工作举措，把办公室打造成参之有道、谋之有策的“参谋部”，协调有力、统筹得力的“指挥部”，敢打硬仗、能打胜仗的“作战部”，为更好地服务县委决策、服务发展大局，为推进建设经济强县、幸福隆尧新局面，充分发挥职能作用</w:t>
      </w:r>
      <w:r>
        <w:rPr>
          <w:rFonts w:hint="eastAsia" w:ascii="新宋体" w:hAnsi="新宋体" w:eastAsia="新宋体"/>
          <w:sz w:val="32"/>
        </w:rPr>
        <w:t>。</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新宋体" w:hAnsi="新宋体" w:eastAsia="新宋体"/>
          <w:sz w:val="32"/>
          <w:lang w:eastAsia="zh-CN"/>
        </w:rPr>
      </w:pPr>
      <w:r>
        <w:rPr>
          <w:rFonts w:ascii="黑体" w:hAnsi="黑体" w:eastAsia="黑体"/>
          <w:sz w:val="32"/>
          <w:lang w:eastAsia="zh-CN"/>
        </w:rPr>
        <w:t xml:space="preserve"> 1、综合文字工作。</w:t>
      </w:r>
      <w:r>
        <w:rPr>
          <w:rFonts w:ascii="新宋体" w:hAnsi="新宋体" w:eastAsia="新宋体"/>
          <w:sz w:val="32"/>
          <w:lang w:eastAsia="zh-CN"/>
        </w:rPr>
        <w:t>起草、整理、印发各类文稿500余篇，其中：领导讲话100余篇，常委会议纪要20期，领导议事纪要60期，主持词180多篇，县委文件、县委办文件140余份。</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新宋体" w:hAnsi="新宋体" w:eastAsia="新宋体"/>
          <w:sz w:val="32"/>
          <w:lang w:eastAsia="zh-CN"/>
        </w:rPr>
      </w:pPr>
      <w:r>
        <w:rPr>
          <w:rFonts w:ascii="黑体" w:hAnsi="黑体" w:eastAsia="黑体"/>
          <w:sz w:val="32"/>
          <w:lang w:eastAsia="zh-CN"/>
        </w:rPr>
        <w:t>2、调研工作。</w:t>
      </w:r>
      <w:r>
        <w:rPr>
          <w:rFonts w:ascii="新宋体" w:hAnsi="新宋体" w:eastAsia="新宋体"/>
          <w:sz w:val="32"/>
          <w:lang w:eastAsia="zh-CN"/>
        </w:rPr>
        <w:t>围绕县委总体工作部署开展综合调研，收集和处理信息、反映动态；承担县委重要工作部署贯彻落实的督导检查，上级领导和县委领导批示件的传达和催办落实。准备就做好深入开展学习实践科学发展观和作风建设年活动进行调研，预计调研30余次。</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黑体" w:hAnsi="黑体" w:eastAsia="黑体"/>
          <w:sz w:val="32"/>
          <w:lang w:eastAsia="zh-CN"/>
        </w:rPr>
      </w:pPr>
      <w:r>
        <w:rPr>
          <w:rFonts w:ascii="黑体" w:hAnsi="黑体" w:eastAsia="黑体"/>
          <w:sz w:val="32"/>
          <w:lang w:eastAsia="zh-CN"/>
        </w:rPr>
        <w:t>3、信息工作。</w:t>
      </w:r>
      <w:r>
        <w:rPr>
          <w:rFonts w:ascii="新宋体" w:hAnsi="新宋体" w:eastAsia="新宋体"/>
          <w:sz w:val="32"/>
          <w:lang w:eastAsia="zh-CN"/>
        </w:rPr>
        <w:t>2020年，县委办信息中心将以坚持主动超前、报送亮点、推广典型、宣传隆尧”的宗旨，以争创一流为目标，紧紧围绕县委中心工作，密切跟踪京津冀协同发展、深化改革、防范化解重大风险、精准脱贫、污染防治三大攻坚战、新型城镇化建设、乡村振兴、农村人居环境整治等重点工作，通过“五个加大”，即加大信息工作调度力度、加大信息约稿力度、加大跟班培训力度、加大县乡联合调研力度、加大信息采用情况通报考核力度等途径，整合全县信息资源，及时反映全县经济社会发展的最新成就、创新做法和先进经验，全面提升信息服务党委科学决策的层次和水平，以新的气象、新的状态、新的业绩，为建设经济强县、幸福隆尧做出新的贡献。</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新宋体" w:hAnsi="新宋体" w:eastAsia="新宋体"/>
          <w:sz w:val="32"/>
          <w:lang w:eastAsia="zh-CN"/>
        </w:rPr>
      </w:pPr>
      <w:r>
        <w:rPr>
          <w:rFonts w:ascii="新宋体" w:hAnsi="新宋体" w:eastAsia="新宋体"/>
          <w:sz w:val="32"/>
          <w:lang w:eastAsia="zh-CN"/>
        </w:rPr>
        <w:t>4、</w:t>
      </w:r>
      <w:r>
        <w:rPr>
          <w:rFonts w:ascii="黑体" w:hAnsi="黑体" w:eastAsia="黑体"/>
          <w:sz w:val="32"/>
          <w:lang w:eastAsia="zh-CN"/>
        </w:rPr>
        <w:t>督查工作</w:t>
      </w:r>
      <w:r>
        <w:rPr>
          <w:rFonts w:ascii="新宋体" w:hAnsi="新宋体" w:eastAsia="新宋体"/>
          <w:sz w:val="32"/>
          <w:lang w:eastAsia="zh-CN"/>
        </w:rPr>
        <w:t>。准备组织专项督查40余次，编发《督查通报》、《督查专报》25期。</w:t>
      </w:r>
      <w:r>
        <w:rPr>
          <w:rFonts w:ascii="楷体" w:hAnsi="楷体" w:eastAsia="楷体"/>
          <w:sz w:val="32"/>
          <w:lang w:eastAsia="zh-CN"/>
        </w:rPr>
        <w:t>（</w:t>
      </w:r>
      <w:r>
        <w:rPr>
          <w:rFonts w:ascii="新宋体" w:hAnsi="新宋体" w:eastAsia="新宋体"/>
          <w:sz w:val="32"/>
          <w:lang w:eastAsia="zh-CN"/>
        </w:rPr>
        <w:t>1）着力抓好决策督查。全年计划组织开展2-3次有影响、有震动的督查活动，提前制定督查预案，明确工作分工，形成督查合力，推动工作落实，确保中央和省市县委各项决策部署得到不折不扣落实。</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新宋体" w:hAnsi="新宋体" w:eastAsia="新宋体"/>
          <w:sz w:val="32"/>
          <w:lang w:eastAsia="zh-CN"/>
        </w:rPr>
      </w:pPr>
      <w:r>
        <w:rPr>
          <w:rFonts w:ascii="新宋体" w:hAnsi="新宋体" w:eastAsia="新宋体"/>
          <w:sz w:val="32"/>
          <w:lang w:eastAsia="zh-CN"/>
        </w:rPr>
        <w:t>（2）着力抓好专项督查。及时建立跟踪督导台账，对领导批示件明确具体牵头单位和责任单位，定期督导要账，确保领导批示问题件件有着落、事事有回音，专项督查取得更好效果。</w:t>
      </w:r>
    </w:p>
    <w:p>
      <w:pPr>
        <w:spacing w:line="600" w:lineRule="exact"/>
        <w:ind w:firstLine="640"/>
        <w:rPr>
          <w:rFonts w:ascii="新宋体" w:hAnsi="新宋体" w:eastAsia="新宋体"/>
          <w:sz w:val="32"/>
        </w:rPr>
      </w:pPr>
      <w:r>
        <w:rPr>
          <w:rFonts w:ascii="楷体" w:hAnsi="楷体" w:eastAsia="楷体"/>
          <w:sz w:val="32"/>
        </w:rPr>
        <w:t>（</w:t>
      </w:r>
      <w:r>
        <w:rPr>
          <w:rFonts w:ascii="新宋体" w:hAnsi="新宋体" w:eastAsia="新宋体"/>
          <w:sz w:val="32"/>
        </w:rPr>
        <w:t xml:space="preserve">3）着力抓好综合督查。按照全年重点工作分解表安排，逐项对照抓落实，确保工作进展成效明显。对阶段性部署工作，注重既看当前，又看长远，特别是大气污染防止、违法占地清理、植树造林等工作，确保各项工作全部落实到位。 </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宋体" w:hAnsi="宋体" w:eastAsia="宋体"/>
          <w:sz w:val="32"/>
          <w:lang w:eastAsia="zh-CN"/>
        </w:rPr>
      </w:pPr>
      <w:r>
        <w:rPr>
          <w:rFonts w:ascii="新宋体" w:hAnsi="新宋体" w:eastAsia="新宋体"/>
          <w:sz w:val="32"/>
          <w:lang w:eastAsia="zh-CN"/>
        </w:rPr>
        <w:t>5、</w:t>
      </w:r>
      <w:r>
        <w:rPr>
          <w:rFonts w:ascii="黑体" w:hAnsi="黑体" w:eastAsia="黑体"/>
          <w:sz w:val="32"/>
          <w:lang w:eastAsia="zh-CN"/>
        </w:rPr>
        <w:t>值班和公文办理工作</w:t>
      </w:r>
      <w:r>
        <w:rPr>
          <w:rFonts w:ascii="新宋体" w:hAnsi="新宋体" w:eastAsia="新宋体"/>
          <w:sz w:val="32"/>
          <w:lang w:eastAsia="zh-CN"/>
        </w:rPr>
        <w:t>。继续强化值班工作责任制，认真做好上传下达，开展公文办理培训，提高工作水平,争取做到零失误。</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宋体" w:hAnsi="宋体" w:eastAsia="宋体"/>
          <w:sz w:val="32"/>
          <w:lang w:eastAsia="zh-CN"/>
        </w:rPr>
      </w:pPr>
      <w:r>
        <w:rPr>
          <w:rFonts w:ascii="新宋体" w:hAnsi="新宋体" w:eastAsia="新宋体"/>
          <w:sz w:val="32"/>
          <w:lang w:eastAsia="zh-CN"/>
        </w:rPr>
        <w:t>6、</w:t>
      </w:r>
      <w:r>
        <w:rPr>
          <w:rFonts w:ascii="黑体" w:hAnsi="黑体" w:eastAsia="黑体"/>
          <w:sz w:val="32"/>
          <w:lang w:eastAsia="zh-CN"/>
        </w:rPr>
        <w:t>公文规范化管理</w:t>
      </w:r>
      <w:r>
        <w:rPr>
          <w:rFonts w:ascii="新宋体" w:hAnsi="新宋体" w:eastAsia="新宋体"/>
          <w:sz w:val="32"/>
          <w:lang w:eastAsia="zh-CN"/>
        </w:rPr>
        <w:t>。认真贯彻《公文规范化管理条件》做好公文的编发和审核工作以及人员培训工作。让我县的公文规范化工作跃上一个新台阶。</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宋体" w:hAnsi="宋体" w:eastAsia="宋体"/>
          <w:sz w:val="32"/>
          <w:lang w:eastAsia="zh-CN"/>
        </w:rPr>
      </w:pPr>
      <w:r>
        <w:rPr>
          <w:rFonts w:ascii="新宋体" w:hAnsi="新宋体" w:eastAsia="新宋体"/>
          <w:sz w:val="32"/>
          <w:lang w:eastAsia="zh-CN"/>
        </w:rPr>
        <w:t>8、</w:t>
      </w:r>
      <w:r>
        <w:rPr>
          <w:rFonts w:ascii="黑体" w:hAnsi="黑体" w:eastAsia="黑体"/>
          <w:sz w:val="32"/>
          <w:lang w:eastAsia="zh-CN"/>
        </w:rPr>
        <w:t>接待和会议工作</w:t>
      </w:r>
      <w:r>
        <w:rPr>
          <w:rFonts w:ascii="新宋体" w:hAnsi="新宋体" w:eastAsia="新宋体"/>
          <w:sz w:val="32"/>
          <w:lang w:eastAsia="zh-CN"/>
        </w:rPr>
        <w:t>。</w:t>
      </w:r>
      <w:r>
        <w:rPr>
          <w:rFonts w:ascii="宋体" w:hAnsi="宋体" w:eastAsia="宋体"/>
          <w:sz w:val="32"/>
          <w:lang w:eastAsia="zh-CN"/>
        </w:rPr>
        <w:t>做好大型会议和活动组织安排、公务接待等。</w:t>
      </w:r>
      <w:r>
        <w:rPr>
          <w:rFonts w:ascii="新宋体" w:hAnsi="新宋体" w:eastAsia="新宋体"/>
          <w:sz w:val="32"/>
          <w:lang w:eastAsia="zh-CN"/>
        </w:rPr>
        <w:t>准备定期培训一批专业接待人员，提高全县的接待水平。</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宋体" w:hAnsi="宋体" w:eastAsia="宋体"/>
          <w:sz w:val="32"/>
          <w:lang w:eastAsia="zh-CN"/>
        </w:rPr>
      </w:pPr>
      <w:r>
        <w:rPr>
          <w:rFonts w:hint="eastAsia" w:ascii="新宋体" w:hAnsi="新宋体" w:eastAsia="新宋体"/>
          <w:sz w:val="32"/>
          <w:lang w:eastAsia="zh-CN"/>
        </w:rPr>
        <w:t>9</w:t>
      </w:r>
      <w:r>
        <w:rPr>
          <w:rFonts w:ascii="新宋体" w:hAnsi="新宋体" w:eastAsia="新宋体"/>
          <w:sz w:val="32"/>
          <w:lang w:eastAsia="zh-CN"/>
        </w:rPr>
        <w:t>、</w:t>
      </w:r>
      <w:r>
        <w:rPr>
          <w:rFonts w:ascii="黑体" w:hAnsi="黑体" w:eastAsia="黑体"/>
          <w:sz w:val="32"/>
          <w:lang w:eastAsia="zh-CN"/>
        </w:rPr>
        <w:t>后勤保障工作</w:t>
      </w:r>
      <w:r>
        <w:rPr>
          <w:rFonts w:ascii="新宋体" w:hAnsi="新宋体" w:eastAsia="新宋体"/>
          <w:sz w:val="32"/>
          <w:lang w:eastAsia="zh-CN"/>
        </w:rPr>
        <w:t>。维修和美化办公区，改善机关办公条件，</w:t>
      </w:r>
      <w:r>
        <w:rPr>
          <w:rFonts w:ascii="宋体" w:hAnsi="宋体" w:eastAsia="宋体"/>
          <w:sz w:val="32"/>
          <w:lang w:eastAsia="zh-CN"/>
        </w:rPr>
        <w:t>维护县委机关形象，使包括县委办在内的进驻各单位能够正常办公。</w:t>
      </w:r>
    </w:p>
    <w:p>
      <w:pPr>
        <w:spacing w:line="800" w:lineRule="exact"/>
        <w:rPr>
          <w:rFonts w:ascii="宋体" w:hAnsi="宋体"/>
          <w:sz w:val="32"/>
        </w:rPr>
      </w:pPr>
      <w:r>
        <w:rPr>
          <w:rFonts w:ascii="宋体" w:hAnsi="宋体"/>
          <w:b/>
          <w:sz w:val="32"/>
        </w:rPr>
        <w:t xml:space="preserve">    </w:t>
      </w:r>
      <w:r>
        <w:rPr>
          <w:rFonts w:hint="eastAsia" w:ascii="宋体" w:hAnsi="宋体"/>
          <w:b/>
          <w:sz w:val="32"/>
        </w:rPr>
        <w:t>10</w:t>
      </w:r>
      <w:r>
        <w:rPr>
          <w:rFonts w:ascii="宋体" w:hAnsi="宋体"/>
          <w:b/>
          <w:sz w:val="32"/>
        </w:rPr>
        <w:t>、机关事务管理工作。</w:t>
      </w:r>
      <w:r>
        <w:rPr>
          <w:rFonts w:ascii="宋体" w:hAnsi="宋体"/>
          <w:sz w:val="32"/>
        </w:rPr>
        <w:t>贯彻落实中办《党政机关公务用车管理办法》，加强公车服务平台建设，认真做好事业单位公车改革工作;贯彻落实中办《党政机关办公用房管理办法》，加强党政机关办公用房管理、调配工作;做好全县公共机构节能工作。</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rPr>
          <w:rFonts w:ascii="宋体" w:hAnsi="宋体" w:eastAsia="宋体"/>
          <w:sz w:val="32"/>
          <w:lang w:eastAsia="zh-CN"/>
        </w:rPr>
      </w:pPr>
      <w:r>
        <w:rPr>
          <w:rFonts w:ascii="宋体" w:hAnsi="宋体" w:eastAsia="宋体"/>
          <w:sz w:val="32"/>
          <w:lang w:eastAsia="zh-CN"/>
        </w:rPr>
        <w:t xml:space="preserve"> </w:t>
      </w:r>
      <w:r>
        <w:rPr>
          <w:rFonts w:ascii="黑体" w:hAnsi="黑体" w:eastAsia="黑体"/>
          <w:sz w:val="32"/>
          <w:lang w:eastAsia="zh-CN"/>
        </w:rPr>
        <w:t xml:space="preserve">   </w:t>
      </w:r>
      <w:r>
        <w:rPr>
          <w:rFonts w:ascii="宋体" w:hAnsi="宋体" w:eastAsia="宋体"/>
          <w:b/>
          <w:sz w:val="32"/>
          <w:lang w:eastAsia="zh-CN"/>
        </w:rPr>
        <w:t>1</w:t>
      </w:r>
      <w:r>
        <w:rPr>
          <w:rFonts w:hint="eastAsia" w:ascii="宋体" w:hAnsi="宋体" w:eastAsia="宋体"/>
          <w:b/>
          <w:sz w:val="32"/>
          <w:lang w:eastAsia="zh-CN"/>
        </w:rPr>
        <w:t>1</w:t>
      </w:r>
      <w:r>
        <w:rPr>
          <w:rFonts w:ascii="宋体" w:hAnsi="宋体" w:eastAsia="宋体"/>
          <w:b/>
          <w:sz w:val="32"/>
          <w:lang w:eastAsia="zh-CN"/>
        </w:rPr>
        <w:t>、</w:t>
      </w:r>
      <w:r>
        <w:rPr>
          <w:rFonts w:ascii="黑体" w:hAnsi="黑体" w:eastAsia="黑体"/>
          <w:sz w:val="32"/>
          <w:lang w:eastAsia="zh-CN"/>
        </w:rPr>
        <w:t>改革办工作。</w:t>
      </w:r>
      <w:r>
        <w:rPr>
          <w:rFonts w:ascii="宋体" w:hAnsi="宋体" w:eastAsia="宋体"/>
          <w:sz w:val="32"/>
          <w:lang w:eastAsia="zh-CN"/>
        </w:rPr>
        <w:t>组织开展全县全面深化改革重大问题的政策研究，每月通报改革进展情况，及时编制年度改革进展和评估报告。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cs="Times New Roman"/>
          <w:kern w:val="0"/>
          <w:sz w:val="32"/>
        </w:rPr>
      </w:pPr>
      <w:r>
        <w:rPr>
          <w:rFonts w:hint="eastAsia" w:ascii="宋体" w:hAnsi="宋体" w:cs="Times New Roman"/>
          <w:b/>
          <w:kern w:val="0"/>
          <w:sz w:val="32"/>
        </w:rPr>
        <w:t>12、</w:t>
      </w:r>
      <w:r>
        <w:rPr>
          <w:rFonts w:ascii="宋体" w:hAnsi="宋体" w:cs="Times New Roman"/>
          <w:kern w:val="0"/>
          <w:sz w:val="32"/>
        </w:rPr>
        <w:t>完成县委县政府交办的其他工作。</w:t>
      </w:r>
    </w:p>
    <w:p>
      <w:pPr>
        <w:autoSpaceDE w:val="0"/>
        <w:autoSpaceDN w:val="0"/>
        <w:adjustRightInd w:val="0"/>
        <w:ind w:firstLine="640" w:firstLineChars="200"/>
        <w:jc w:val="left"/>
        <w:rPr>
          <w:rFonts w:hint="eastAsia" w:ascii="宋体" w:hAnsi="宋体" w:cs="Times New Roman"/>
          <w:kern w:val="0"/>
          <w:sz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jc w:val="left"/>
        <w:outlineLvl w:val="1"/>
        <w:rPr>
          <w:rFonts w:ascii="方正仿宋_GBK" w:eastAsia="方正仿宋_GBK"/>
          <w:b/>
          <w:sz w:val="28"/>
        </w:rPr>
      </w:pPr>
      <w:r>
        <w:rPr>
          <w:rFonts w:hint="eastAsia" w:ascii="方正仿宋_GBK" w:eastAsia="方正仿宋_GBK"/>
          <w:b/>
          <w:sz w:val="28"/>
        </w:rPr>
        <w:t xml:space="preserve"> 1、公文运转</w:t>
      </w:r>
    </w:p>
    <w:p>
      <w:pPr>
        <w:jc w:val="left"/>
        <w:outlineLvl w:val="1"/>
        <w:rPr>
          <w:rFonts w:ascii="方正仿宋_GBK" w:eastAsia="方正仿宋_GBK"/>
          <w:b/>
          <w:sz w:val="28"/>
        </w:rPr>
      </w:pP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1、高效完成起草任务及其他工作</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2、无差错完成各项工作</w:t>
            </w:r>
          </w:p>
        </w:tc>
      </w:tr>
    </w:tbl>
    <w:p>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效率高</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起草文稿分发文件管理档案效率高</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高效完成各项任务</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工作性质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无差错</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起草文稿分发文件管理档案无差错</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≥100达到零差错</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工作性质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起草文稿分发文件管理档案达到领导满意</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起草文稿分发文件管理档案达到领导满意程度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工作性质</w:t>
            </w:r>
          </w:p>
        </w:tc>
      </w:tr>
    </w:tbl>
    <w:p>
      <w:pPr>
        <w:numPr>
          <w:ilvl w:val="0"/>
          <w:numId w:val="1"/>
        </w:numPr>
        <w:jc w:val="left"/>
        <w:outlineLvl w:val="1"/>
        <w:rPr>
          <w:rFonts w:ascii="方正仿宋_GBK" w:eastAsia="方正仿宋_GBK"/>
          <w:b/>
          <w:sz w:val="28"/>
        </w:rPr>
      </w:pPr>
      <w:r>
        <w:rPr>
          <w:rFonts w:hint="eastAsia" w:ascii="方正仿宋_GBK" w:eastAsia="方正仿宋_GBK"/>
          <w:b/>
          <w:sz w:val="28"/>
        </w:rPr>
        <w:t>协调县委大型会议和活动</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1、严控会议计划、会议规模和会期，严格会议开支标准，严控大型活动数量，</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2、降低会议和活动费用开支</w:t>
            </w:r>
          </w:p>
        </w:tc>
      </w:tr>
    </w:tbl>
    <w:p>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大型会议控制率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反映纳入年初以县委或县委县政府名义召开会议名单的会议数量占全年实际会议数量的比率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会议和活动费用节省率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反映节省会议和活动开支费用情况</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会议规模控制率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反映控制规模次数占会议总次数</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计划标准</w:t>
            </w:r>
          </w:p>
        </w:tc>
      </w:tr>
    </w:tbl>
    <w:p>
      <w:pPr>
        <w:jc w:val="left"/>
        <w:outlineLvl w:val="1"/>
        <w:rPr>
          <w:rFonts w:ascii="方正仿宋_GBK" w:eastAsia="方正仿宋_GBK"/>
          <w:b/>
          <w:sz w:val="28"/>
        </w:rPr>
      </w:pPr>
    </w:p>
    <w:p>
      <w:pPr>
        <w:jc w:val="left"/>
        <w:outlineLvl w:val="1"/>
        <w:rPr>
          <w:rFonts w:ascii="方正仿宋_GBK" w:eastAsia="方正仿宋_GBK"/>
          <w:b/>
          <w:sz w:val="28"/>
        </w:rPr>
      </w:pPr>
      <w:r>
        <w:rPr>
          <w:rFonts w:hint="eastAsia" w:ascii="方正仿宋_GBK" w:eastAsia="方正仿宋_GBK"/>
          <w:b/>
          <w:sz w:val="28"/>
        </w:rPr>
        <w:t>3、公务接待活动</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1、严格执行接待标准</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2、降低接待费规模</w:t>
            </w:r>
          </w:p>
        </w:tc>
      </w:tr>
    </w:tbl>
    <w:p>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降低接待费规模</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反映执行接待费降低情况</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接待费用降低情况占总体情况</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被接待单位满意程度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工作职责</w:t>
            </w:r>
          </w:p>
        </w:tc>
      </w:tr>
    </w:tbl>
    <w:p>
      <w:pPr>
        <w:jc w:val="left"/>
        <w:outlineLvl w:val="1"/>
        <w:rPr>
          <w:rFonts w:ascii="方正仿宋_GBK" w:eastAsia="方正仿宋_GBK"/>
          <w:b/>
          <w:sz w:val="28"/>
        </w:rPr>
      </w:pPr>
    </w:p>
    <w:p>
      <w:pPr>
        <w:jc w:val="left"/>
        <w:outlineLvl w:val="1"/>
        <w:rPr>
          <w:rFonts w:ascii="方正仿宋_GBK" w:eastAsia="方正仿宋_GBK"/>
          <w:b/>
          <w:sz w:val="28"/>
        </w:rPr>
      </w:pPr>
      <w:r>
        <w:rPr>
          <w:rFonts w:hint="eastAsia" w:ascii="方正仿宋_GBK" w:eastAsia="方正仿宋_GBK"/>
          <w:b/>
          <w:sz w:val="28"/>
        </w:rPr>
        <w:t>4、信息收集民意调查信息网络管理</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信息采集上报率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反映信息采集数量和信息上报的情况</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≥90被采集的信息占上报信息总量的比率</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信息真实率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反映信息真实性情况</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上报信息的真实情况</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领导满意</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反映领导对信息工作的满意程度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≥98领导对上报信息的满意程度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根据工作情况</w:t>
            </w:r>
          </w:p>
        </w:tc>
      </w:tr>
    </w:tbl>
    <w:p>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jc w:val="left"/>
        <w:outlineLvl w:val="1"/>
        <w:rPr>
          <w:rFonts w:ascii="方正仿宋_GBK" w:eastAsia="方正仿宋_GBK"/>
          <w:b/>
          <w:sz w:val="28"/>
        </w:rPr>
      </w:pPr>
    </w:p>
    <w:p>
      <w:pPr>
        <w:numPr>
          <w:ilvl w:val="0"/>
          <w:numId w:val="2"/>
        </w:numPr>
        <w:jc w:val="left"/>
        <w:outlineLvl w:val="1"/>
        <w:rPr>
          <w:rFonts w:ascii="方正仿宋_GBK" w:eastAsia="方正仿宋_GBK"/>
          <w:b/>
          <w:sz w:val="28"/>
        </w:rPr>
      </w:pPr>
      <w:r>
        <w:rPr>
          <w:rFonts w:hint="eastAsia" w:ascii="方正仿宋_GBK" w:eastAsia="方正仿宋_GBK"/>
          <w:b/>
          <w:sz w:val="28"/>
        </w:rPr>
        <w:t>督查调研</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1、信息真实完整</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2、领导满意</w:t>
            </w:r>
          </w:p>
        </w:tc>
      </w:tr>
    </w:tbl>
    <w:p>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信息真实</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通过督查调研取得真实信息情况</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对全县经济发展的贡献率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反映督查调研对经济发展的拉动作用</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领导满意率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反映领导对活动的满意度和肯定性指示情况</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≥98</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工作职责</w:t>
            </w:r>
          </w:p>
        </w:tc>
      </w:tr>
    </w:tbl>
    <w:p>
      <w:pPr>
        <w:numPr>
          <w:ilvl w:val="0"/>
          <w:numId w:val="3"/>
        </w:numPr>
        <w:jc w:val="left"/>
        <w:outlineLvl w:val="1"/>
        <w:rPr>
          <w:rFonts w:ascii="方正仿宋_GBK" w:eastAsia="方正仿宋_GBK"/>
          <w:b/>
          <w:sz w:val="28"/>
        </w:rPr>
      </w:pPr>
      <w:r>
        <w:rPr>
          <w:rFonts w:hint="eastAsia" w:ascii="方正仿宋_GBK" w:eastAsia="方正仿宋_GBK"/>
          <w:b/>
          <w:sz w:val="28"/>
        </w:rPr>
        <w:t>专项公用经费</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成本指标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综合事务保障率</w:t>
            </w:r>
          </w:p>
          <w:p>
            <w:pPr>
              <w:spacing w:line="300" w:lineRule="exact"/>
              <w:jc w:val="left"/>
              <w:rPr>
                <w:rFonts w:ascii="方正书宋_GBK" w:hAnsi="方正书宋_GBK" w:eastAsia="方正书宋_GBK" w:cs="方正书宋_GBK"/>
                <w:b/>
              </w:rPr>
            </w:pP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反映保障机关正常运转情况</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综合事务保障率达到 95%为优良</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机关事务正常运转</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反映保障机关事务正常开展情况</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机关事务能够百分之百正常开展为优</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满意率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反映县委机关对保障情况的满意程度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达到98%的机关人员满意为优良</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计划标准</w:t>
            </w:r>
          </w:p>
        </w:tc>
      </w:tr>
    </w:tbl>
    <w:p>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numPr>
          <w:ilvl w:val="0"/>
          <w:numId w:val="3"/>
        </w:numPr>
        <w:jc w:val="left"/>
        <w:outlineLvl w:val="1"/>
        <w:rPr>
          <w:rFonts w:ascii="方正仿宋_GBK" w:eastAsia="方正仿宋_GBK"/>
          <w:b/>
          <w:sz w:val="28"/>
        </w:rPr>
      </w:pPr>
      <w:r>
        <w:rPr>
          <w:rFonts w:hint="eastAsia" w:ascii="方正仿宋_GBK" w:eastAsia="方正仿宋_GBK"/>
          <w:b/>
          <w:sz w:val="28"/>
        </w:rPr>
        <w:t>机关职工活动室、食堂改造及县委机关院西侧车库拆除、围墙维修美化及办公室内墙粉刷</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1、修整机关职工活动场所</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2、改善职工生活办公条件</w:t>
            </w:r>
          </w:p>
        </w:tc>
      </w:tr>
    </w:tbl>
    <w:p>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合格率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工程合格数量占工程总量的比例（百分比）</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职工文化需求</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改善办公、生活、文体条件，满足职工精神文化需求</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满足物质文件需要程度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职工满意度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职工对县委办公生活条件改善的满意度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≥95职工对县委办公生活条件改善的满意度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计划标准</w:t>
            </w:r>
          </w:p>
        </w:tc>
      </w:tr>
    </w:tbl>
    <w:p>
      <w:pPr>
        <w:numPr>
          <w:ilvl w:val="0"/>
          <w:numId w:val="3"/>
        </w:numPr>
        <w:jc w:val="left"/>
        <w:outlineLvl w:val="1"/>
        <w:rPr>
          <w:rFonts w:ascii="方正仿宋_GBK" w:eastAsia="方正仿宋_GBK"/>
          <w:b/>
          <w:sz w:val="28"/>
        </w:rPr>
      </w:pPr>
      <w:r>
        <w:rPr>
          <w:rFonts w:hint="eastAsia" w:ascii="方正仿宋_GBK" w:eastAsia="方正仿宋_GBK"/>
          <w:b/>
          <w:sz w:val="28"/>
        </w:rPr>
        <w:t>改革办经费</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1、形成的研究成果真实完整，符合实际，针对性、可操作性强，领导满意。</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2、每月通报改革进展情况，及时编制年度改革进展和评估报告</w:t>
            </w:r>
          </w:p>
        </w:tc>
      </w:tr>
    </w:tbl>
    <w:p>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对调研报告的批示率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反映领导对调研成果的满意度和肯定批示率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编制评估报告率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反映对年度改革进展和评估报告编情况</w:t>
            </w:r>
          </w:p>
        </w:tc>
        <w:tc>
          <w:tcPr>
            <w:tcW w:w="1276" w:type="dxa"/>
            <w:vAlign w:val="center"/>
          </w:tcPr>
          <w:p>
            <w:pPr>
              <w:spacing w:line="300" w:lineRule="exact"/>
              <w:jc w:val="left"/>
              <w:rPr>
                <w:rFonts w:ascii="方正书宋_GBK" w:hAnsi="方正书宋_GBK" w:eastAsia="方正书宋_GBK" w:cs="方正书宋_GBK"/>
                <w:b/>
              </w:rPr>
            </w:pP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领导满意度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反映领导对督查通报和报告的满意度和肯定性批示</w:t>
            </w:r>
          </w:p>
        </w:tc>
        <w:tc>
          <w:tcPr>
            <w:tcW w:w="1276" w:type="dxa"/>
            <w:vAlign w:val="center"/>
          </w:tcPr>
          <w:p>
            <w:pPr>
              <w:spacing w:line="300" w:lineRule="exact"/>
              <w:jc w:val="left"/>
              <w:rPr>
                <w:rFonts w:ascii="方正书宋_GBK" w:hAnsi="方正书宋_GBK" w:eastAsia="方正书宋_GBK" w:cs="方正书宋_GBK"/>
                <w:b/>
              </w:rPr>
            </w:pP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工作职责</w:t>
            </w:r>
          </w:p>
        </w:tc>
      </w:tr>
    </w:tbl>
    <w:p>
      <w:pPr>
        <w:numPr>
          <w:ilvl w:val="0"/>
          <w:numId w:val="3"/>
        </w:numPr>
        <w:jc w:val="left"/>
        <w:outlineLvl w:val="1"/>
        <w:rPr>
          <w:rFonts w:ascii="方正仿宋_GBK" w:eastAsia="方正仿宋_GBK"/>
          <w:b/>
          <w:sz w:val="28"/>
        </w:rPr>
      </w:pPr>
      <w:r>
        <w:rPr>
          <w:rFonts w:hint="eastAsia" w:ascii="方正仿宋_GBK" w:eastAsia="方正仿宋_GBK"/>
          <w:b/>
          <w:sz w:val="28"/>
        </w:rPr>
        <w:t>公务用车运行维护费</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公务用车入保险率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入保险的公务用车量占全部公务用车的比例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≥100入保险的公务用车数量</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入保险的公务用车数量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公务用车检测率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检测完成的公务用车量占全部公务用车的比例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≥100检测完成的公务用车量</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检测完成的公务用车量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过桥费支出率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过桥费支出量占全部公车过桥费需支出量的比例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≥100过桥费支出费量</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过桥费支出费量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公车使用满意度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使用公车满意的单位量占全部使用公车单位总量的比例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≥100使用公车满意的单位量</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使用公车满意的单位量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公车正常运行率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正常运行的公车占全部公车的比例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≥100正常运行的公车量</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正常运行的公车量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公车完成维修率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完成维修的公车量占需要维修的公车量的比例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完成维修公车的数量</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完成维修公车的数量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日常出行率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≥100办公人员日常出行使用率</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公务用车行车轨迹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领导使用公车满意度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≥100领导使用公车满意度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领导使用公车满意度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维修厂对我单位的满意度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≥100维修单位的满意度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维修厂对我单位的投诉率</w:t>
            </w:r>
          </w:p>
        </w:tc>
      </w:tr>
    </w:tbl>
    <w:p>
      <w:pPr>
        <w:rPr>
          <w:rFonts w:ascii="黑体" w:hAnsi="黑体" w:eastAsia="黑体"/>
          <w:sz w:val="30"/>
          <w:szCs w:val="30"/>
        </w:rPr>
      </w:pPr>
      <w:r>
        <w:rPr>
          <w:rFonts w:hint="eastAsia" w:ascii="方正仿宋_GBK" w:eastAsia="方正仿宋_GBK"/>
          <w:b/>
          <w:sz w:val="28"/>
        </w:rPr>
        <w:t>10、</w:t>
      </w:r>
      <w:r>
        <w:rPr>
          <w:rFonts w:hint="eastAsia" w:ascii="黑体" w:hAnsi="黑体" w:eastAsia="黑体"/>
          <w:sz w:val="30"/>
          <w:szCs w:val="30"/>
        </w:rPr>
        <w:t>机关办公费</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机关工作完成率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完成机关工作占全年工作的比例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≥100机关工作完成量</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机关工作完成量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机关办公费支出率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机关办公费支出数占预算总数的比例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≥100机关办公支出量</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机关办公支出量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机关购置率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机关购置货物量占全年购置计划的比例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≥100机关购置数量</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机关购置数量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机关高质量工作完成率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完成机关高质量工作占全年工作的比例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≥100机关高质量工作完成量</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机关高质量工作完成量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机关差旅费发放率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机关差旅费发放量占总实际差旅费的比例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≥100机关差旅费发放率</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机关差旅费发放率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机关办公优质率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机关办公优质次数占总办公次数的比例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≥100机关办公优质次数</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机关办公优质次数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办公人员使用办公费满意度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≥100办公人员使用办公费满意度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办公人员使用办公费满意度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领导对使用办公的满意度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≥100领导全年对办公的满意度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领导日常工作的程度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租赁门市对单位的满意度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≥100全年租赁门市的投诉率</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租赁合同</w:t>
            </w:r>
          </w:p>
        </w:tc>
      </w:tr>
    </w:tbl>
    <w:p>
      <w:pPr>
        <w:rPr>
          <w:rFonts w:ascii="方正仿宋_GBK" w:eastAsia="方正仿宋_GBK"/>
          <w:b/>
          <w:sz w:val="28"/>
        </w:rPr>
      </w:pPr>
    </w:p>
    <w:p>
      <w:pPr>
        <w:rPr>
          <w:rFonts w:ascii="方正仿宋_GBK" w:eastAsia="方正仿宋_GBK"/>
          <w:b/>
          <w:sz w:val="28"/>
        </w:rPr>
      </w:pPr>
    </w:p>
    <w:p>
      <w:pPr>
        <w:rPr>
          <w:rFonts w:ascii="方正仿宋_GBK" w:eastAsia="方正仿宋_GBK"/>
          <w:b/>
          <w:sz w:val="28"/>
        </w:rPr>
      </w:pPr>
    </w:p>
    <w:p>
      <w:pPr>
        <w:rPr>
          <w:rFonts w:ascii="方正仿宋_GBK" w:eastAsia="方正仿宋_GBK"/>
          <w:b/>
          <w:sz w:val="28"/>
        </w:rPr>
      </w:pPr>
    </w:p>
    <w:p>
      <w:pPr>
        <w:rPr>
          <w:rFonts w:ascii="方正仿宋_GBK" w:eastAsia="方正仿宋_GBK"/>
          <w:b/>
          <w:sz w:val="28"/>
        </w:rPr>
      </w:pPr>
    </w:p>
    <w:p>
      <w:pPr>
        <w:rPr>
          <w:rFonts w:ascii="黑体" w:hAnsi="黑体" w:eastAsia="黑体"/>
          <w:sz w:val="30"/>
          <w:szCs w:val="30"/>
        </w:rPr>
      </w:pPr>
      <w:r>
        <w:rPr>
          <w:rFonts w:hint="eastAsia" w:ascii="方正仿宋_GBK" w:eastAsia="方正仿宋_GBK"/>
          <w:b/>
          <w:sz w:val="28"/>
        </w:rPr>
        <w:t>11、</w:t>
      </w:r>
      <w:r>
        <w:rPr>
          <w:rFonts w:hint="eastAsia" w:ascii="黑体" w:hAnsi="黑体" w:eastAsia="黑体"/>
          <w:sz w:val="30"/>
          <w:szCs w:val="30"/>
        </w:rPr>
        <w:t>文化活动室经费</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活动室的质量</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活动室材料用工的质量</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≥100活动室质量必须质量合格</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活动室使用率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活动室每天使用率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≥80活动室每天使用</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磨损情况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活动室带来的效果</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活动室建造带来的影响</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≥90建造活动室对健康带来的效果</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可持续影响指标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长期使用性</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能够长期较好地开展展演、展映、展播、展示，长期满足人民群众对精神文化的需求。</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≥100建造活动室长期使用</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磨损情况表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可持续影响指标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长期使用性</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能够长期较好地开工作</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≥100身体健康才成更好的完成工作</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人员出勤率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可持续影响指标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长期使用性</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能够长期较好地开展锻炼。</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≥70每天坚持锻炼身体</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系列文化活动参与者满意度情况</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系列文化活动参与者满意人数占参与人数的比例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≥80参与健身的满意度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使用情况表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接受领导对活动室的满意度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≥90领导对健设活动室的满意度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领导对活动室的意见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社科研究单位科研管理部门满意度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社科研究单位科研管理部门对社科办工作满意度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≥90机关单位对活动室的满意度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机关单位对活动室的意见</w:t>
            </w:r>
          </w:p>
        </w:tc>
      </w:tr>
    </w:tbl>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r>
        <w:rPr>
          <w:rFonts w:hint="eastAsia" w:ascii="方正仿宋_GBK" w:eastAsia="方正仿宋_GBK"/>
          <w:b/>
          <w:sz w:val="28"/>
        </w:rPr>
        <w:t>12、租赁费</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GPS安装率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GPS安装量占全年计划安装量的比例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≥90GPS安装量</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GPS安装量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视频会议系统网络服务支出率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视频会议系统网络服务支出费用占全年计划支出费用的比例</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≥100视频会议系统网络服务支出费用量</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视频会议系统网络服务支出费用量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会议室使用满意度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省市召开视频会议，视频会议室的使用情况</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≥90会议使用满意次数</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会议使用满意次数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调度平台的正常运行</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公车服务平台运行使用的调度管理软件空间专网</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≥100调度平台的使用情况</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调度平台的使用情况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可持续影响指标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车辆卫星定位准确</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全县公车卫星定位系统</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≥100调度平台公车行驶路线轨迹回放</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调度平台公车行驶路线轨迹回放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接受领导班子提供服务的满意程度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≥100使用视频会议室的满意度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使用视频会议室的满意度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接受领导班子提供服务的满意程度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≥100使用公车的满意度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使用公车的满意度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城管局租车的满意度</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≥100使用租赁费的满意度</w:t>
            </w:r>
          </w:p>
        </w:tc>
        <w:tc>
          <w:tcPr>
            <w:tcW w:w="170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使用租赁费的满意度</w:t>
            </w:r>
          </w:p>
        </w:tc>
      </w:tr>
    </w:tbl>
    <w:p>
      <w:pPr>
        <w:jc w:val="left"/>
        <w:outlineLvl w:val="1"/>
        <w:rPr>
          <w:rFonts w:ascii="方正仿宋_GBK" w:eastAsia="方正仿宋_GBK"/>
          <w:b/>
          <w:color w:val="C0504D" w:themeColor="accent2"/>
          <w:sz w:val="28"/>
          <w14:textFill>
            <w14:solidFill>
              <w14:schemeClr w14:val="accent2"/>
            </w14:solidFill>
          </w14:textFill>
        </w:rPr>
      </w:pPr>
    </w:p>
    <w:p>
      <w:pPr>
        <w:jc w:val="left"/>
        <w:outlineLvl w:val="1"/>
        <w:rPr>
          <w:rFonts w:ascii="方正仿宋_GBK" w:eastAsia="方正仿宋_GBK"/>
          <w:b/>
          <w:color w:val="C0504D" w:themeColor="accent2"/>
          <w:sz w:val="28"/>
          <w14:textFill>
            <w14:solidFill>
              <w14:schemeClr w14:val="accent2"/>
            </w14:solidFill>
          </w14:textFill>
        </w:rPr>
      </w:pPr>
    </w:p>
    <w:bookmarkEnd w:id="0"/>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sectPr>
          <w:pgSz w:w="11906" w:h="16838"/>
          <w:pgMar w:top="1440" w:right="1800" w:bottom="1440" w:left="1800" w:header="851" w:footer="992" w:gutter="0"/>
          <w:cols w:space="720"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274.49万</w:t>
      </w:r>
      <w:r>
        <w:rPr>
          <w:rFonts w:ascii="Times New Roman" w:hAnsi="Times New Roman" w:eastAsia="仿宋" w:cs="Times New Roman"/>
          <w:sz w:val="32"/>
          <w:szCs w:val="24"/>
        </w:rPr>
        <w:t>元。具体内容见下表。</w:t>
      </w:r>
    </w:p>
    <w:p>
      <w:pPr>
        <w:ind w:firstLine="640" w:firstLineChars="200"/>
        <w:jc w:val="center"/>
        <w:outlineLvl w:val="0"/>
        <w:rPr>
          <w:rFonts w:ascii="Times New Roman" w:hAnsi="Times New Roman" w:eastAsia="仿宋" w:cs="Times New Roman"/>
          <w:sz w:val="32"/>
          <w:szCs w:val="24"/>
        </w:rPr>
      </w:pPr>
      <w:r>
        <w:rPr>
          <w:rFonts w:hint="eastAsia" w:ascii="Times New Roman" w:hAnsi="Times New Roman" w:eastAsia="仿宋" w:cs="Times New Roman"/>
          <w:sz w:val="32"/>
          <w:szCs w:val="24"/>
        </w:rPr>
        <w:t>部门政府采购预算</w:t>
      </w:r>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hAnsi="方正小标宋_GBK" w:eastAsia="方正小标宋_GBK" w:cs="方正小标宋_GBK"/>
                <w:b/>
                <w:sz w:val="24"/>
              </w:rPr>
            </w:pPr>
            <w:r>
              <w:rPr>
                <w:rFonts w:hint="eastAsia" w:ascii="方正小标宋_GBK" w:hAnsi="方正小标宋_GBK" w:eastAsia="方正小标宋_GBK" w:cs="方正小标宋_GBK"/>
                <w:b/>
                <w:sz w:val="24"/>
              </w:rPr>
              <w:t>201中共隆尧县委</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sz w:val="24"/>
              </w:rPr>
            </w:pPr>
            <w:r>
              <w:rPr>
                <w:rFonts w:hint="eastAsia" w:ascii="方正书宋_GBK" w:hAnsi="方正书宋_GBK" w:eastAsia="方正书宋_GBK" w:cs="方正书宋_GBK"/>
                <w:b/>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311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政府采购项目来源</w:t>
            </w:r>
          </w:p>
        </w:tc>
        <w:tc>
          <w:tcPr>
            <w:tcW w:w="1531"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采购物品名称</w:t>
            </w:r>
          </w:p>
        </w:tc>
        <w:tc>
          <w:tcPr>
            <w:tcW w:w="1531"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政府采购目录序号</w:t>
            </w:r>
          </w:p>
        </w:tc>
        <w:tc>
          <w:tcPr>
            <w:tcW w:w="709"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计量  单位</w:t>
            </w:r>
          </w:p>
        </w:tc>
        <w:tc>
          <w:tcPr>
            <w:tcW w:w="907"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数量</w:t>
            </w:r>
          </w:p>
        </w:tc>
        <w:tc>
          <w:tcPr>
            <w:tcW w:w="907"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单价</w:t>
            </w:r>
          </w:p>
        </w:tc>
        <w:tc>
          <w:tcPr>
            <w:tcW w:w="6804" w:type="dxa"/>
            <w:gridSpan w:val="6"/>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预算资金</w:t>
            </w:r>
          </w:p>
        </w:tc>
        <w:tc>
          <w:tcPr>
            <w:tcW w:w="1531" w:type="dxa"/>
            <w:vMerge w:val="continue"/>
          </w:tcPr>
          <w:p>
            <w:pPr>
              <w:spacing w:line="300" w:lineRule="exact"/>
              <w:jc w:val="left"/>
              <w:outlineLvl w:val="0"/>
              <w:rPr>
                <w:rFonts w:ascii="方正小标宋_GBK" w:hAnsi="方正小标宋_GBK" w:eastAsia="方正小标宋_GBK" w:cs="方正小标宋_GBK"/>
                <w:b/>
                <w:sz w:val="32"/>
              </w:rPr>
            </w:pPr>
          </w:p>
        </w:tc>
        <w:tc>
          <w:tcPr>
            <w:tcW w:w="1531" w:type="dxa"/>
            <w:vMerge w:val="continue"/>
          </w:tcPr>
          <w:p>
            <w:pPr>
              <w:spacing w:line="300" w:lineRule="exact"/>
              <w:jc w:val="left"/>
              <w:outlineLvl w:val="0"/>
              <w:rPr>
                <w:rFonts w:ascii="方正小标宋_GBK" w:hAnsi="方正小标宋_GBK" w:eastAsia="方正小标宋_GBK" w:cs="方正小标宋_GBK"/>
                <w:b/>
                <w:sz w:val="32"/>
              </w:rPr>
            </w:pPr>
          </w:p>
        </w:tc>
        <w:tc>
          <w:tcPr>
            <w:tcW w:w="709" w:type="dxa"/>
            <w:vMerge w:val="continue"/>
          </w:tcPr>
          <w:p>
            <w:pPr>
              <w:spacing w:line="300" w:lineRule="exact"/>
              <w:jc w:val="left"/>
              <w:outlineLvl w:val="0"/>
              <w:rPr>
                <w:rFonts w:ascii="方正小标宋_GBK" w:hAnsi="方正小标宋_GBK" w:eastAsia="方正小标宋_GBK" w:cs="方正小标宋_GBK"/>
                <w:b/>
                <w:sz w:val="32"/>
              </w:rPr>
            </w:pPr>
          </w:p>
        </w:tc>
        <w:tc>
          <w:tcPr>
            <w:tcW w:w="907" w:type="dxa"/>
            <w:vMerge w:val="continue"/>
          </w:tcPr>
          <w:p>
            <w:pPr>
              <w:spacing w:line="300" w:lineRule="exact"/>
              <w:jc w:val="left"/>
              <w:outlineLvl w:val="0"/>
              <w:rPr>
                <w:rFonts w:ascii="方正小标宋_GBK" w:hAnsi="方正小标宋_GBK" w:eastAsia="方正小标宋_GBK" w:cs="方正小标宋_GBK"/>
                <w:b/>
                <w:sz w:val="32"/>
              </w:rPr>
            </w:pPr>
          </w:p>
        </w:tc>
        <w:tc>
          <w:tcPr>
            <w:tcW w:w="907" w:type="dxa"/>
            <w:vMerge w:val="continue"/>
          </w:tcPr>
          <w:p>
            <w:pPr>
              <w:spacing w:line="300" w:lineRule="exact"/>
              <w:jc w:val="left"/>
              <w:outlineLvl w:val="0"/>
              <w:rPr>
                <w:rFonts w:ascii="方正小标宋_GBK" w:hAnsi="方正小标宋_GBK" w:eastAsia="方正小标宋_GBK" w:cs="方正小标宋_GBK"/>
                <w:b/>
                <w:sz w:val="32"/>
              </w:rPr>
            </w:pP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合计</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一般公共预算拨款</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基金预算拨款</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国有资本经营预算拨款</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财政专户核拨</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合　计</w:t>
            </w:r>
          </w:p>
        </w:tc>
        <w:tc>
          <w:tcPr>
            <w:tcW w:w="1134" w:type="dxa"/>
            <w:vAlign w:val="center"/>
          </w:tcPr>
          <w:p>
            <w:pPr>
              <w:spacing w:line="300" w:lineRule="exact"/>
              <w:jc w:val="right"/>
              <w:rPr>
                <w:rFonts w:ascii="方正书宋_GBK" w:hAnsi="方正书宋_GBK" w:eastAsia="方正书宋_GBK" w:cs="方正书宋_GBK"/>
                <w:b/>
              </w:rPr>
            </w:pPr>
          </w:p>
        </w:tc>
        <w:tc>
          <w:tcPr>
            <w:tcW w:w="1531" w:type="dxa"/>
            <w:vAlign w:val="center"/>
          </w:tcPr>
          <w:p>
            <w:pPr>
              <w:spacing w:line="300" w:lineRule="exact"/>
              <w:jc w:val="left"/>
              <w:rPr>
                <w:rFonts w:ascii="方正书宋_GBK" w:hAnsi="方正书宋_GBK" w:eastAsia="方正书宋_GBK" w:cs="方正书宋_GBK"/>
                <w:b/>
              </w:rPr>
            </w:pPr>
          </w:p>
        </w:tc>
        <w:tc>
          <w:tcPr>
            <w:tcW w:w="1531" w:type="dxa"/>
            <w:vAlign w:val="center"/>
          </w:tcPr>
          <w:p>
            <w:pPr>
              <w:spacing w:line="300" w:lineRule="exact"/>
              <w:jc w:val="left"/>
              <w:rPr>
                <w:rFonts w:ascii="方正书宋_GBK" w:hAnsi="方正书宋_GBK" w:eastAsia="方正书宋_GBK" w:cs="方正书宋_GBK"/>
                <w:b/>
              </w:rPr>
            </w:pPr>
          </w:p>
        </w:tc>
        <w:tc>
          <w:tcPr>
            <w:tcW w:w="709" w:type="dxa"/>
            <w:vAlign w:val="center"/>
          </w:tcPr>
          <w:p>
            <w:pPr>
              <w:spacing w:line="300" w:lineRule="exact"/>
              <w:jc w:val="center"/>
              <w:rPr>
                <w:rFonts w:ascii="方正书宋_GBK" w:hAnsi="方正书宋_GBK" w:eastAsia="方正书宋_GBK" w:cs="方正书宋_GBK"/>
                <w:b/>
              </w:rPr>
            </w:pPr>
          </w:p>
        </w:tc>
        <w:tc>
          <w:tcPr>
            <w:tcW w:w="907" w:type="dxa"/>
            <w:vAlign w:val="center"/>
          </w:tcPr>
          <w:p>
            <w:pPr>
              <w:spacing w:line="300" w:lineRule="exact"/>
              <w:jc w:val="right"/>
              <w:rPr>
                <w:rFonts w:ascii="方正书宋_GBK" w:hAnsi="方正书宋_GBK" w:eastAsia="方正书宋_GBK" w:cs="方正书宋_GBK"/>
                <w:b/>
              </w:rPr>
            </w:pPr>
          </w:p>
        </w:tc>
        <w:tc>
          <w:tcPr>
            <w:tcW w:w="907"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2744948.00</w:t>
            </w:r>
          </w:p>
        </w:tc>
        <w:tc>
          <w:tcPr>
            <w:tcW w:w="1134" w:type="dxa"/>
            <w:vAlign w:val="center"/>
          </w:tcPr>
          <w:p>
            <w:pPr>
              <w:spacing w:line="300" w:lineRule="exact"/>
              <w:jc w:val="right"/>
              <w:rPr>
                <w:rFonts w:ascii="方正书宋_GBK" w:hAnsi="方正书宋_GBK" w:eastAsia="方正书宋_GBK" w:cs="方正书宋_GBK"/>
                <w:b/>
              </w:rPr>
            </w:pPr>
            <w:r>
              <w:rPr>
                <w:rFonts w:ascii="方正书宋_GBK" w:hAnsi="方正书宋_GBK" w:eastAsia="方正书宋_GBK" w:cs="方正书宋_GBK"/>
                <w:b/>
              </w:rPr>
              <w:t>2744948.00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中国共产党隆尧县委员会办公室小计</w:t>
            </w:r>
          </w:p>
        </w:tc>
        <w:tc>
          <w:tcPr>
            <w:tcW w:w="1134" w:type="dxa"/>
            <w:vAlign w:val="center"/>
          </w:tcPr>
          <w:p>
            <w:pPr>
              <w:spacing w:line="300" w:lineRule="exact"/>
              <w:jc w:val="right"/>
              <w:rPr>
                <w:rFonts w:ascii="方正书宋_GBK" w:hAnsi="方正书宋_GBK" w:eastAsia="方正书宋_GBK" w:cs="方正书宋_GBK"/>
                <w:b/>
              </w:rPr>
            </w:pPr>
          </w:p>
        </w:tc>
        <w:tc>
          <w:tcPr>
            <w:tcW w:w="1531" w:type="dxa"/>
            <w:vAlign w:val="center"/>
          </w:tcPr>
          <w:p>
            <w:pPr>
              <w:spacing w:line="300" w:lineRule="exact"/>
              <w:jc w:val="left"/>
              <w:rPr>
                <w:rFonts w:ascii="方正书宋_GBK" w:hAnsi="方正书宋_GBK" w:eastAsia="方正书宋_GBK" w:cs="方正书宋_GBK"/>
                <w:b/>
              </w:rPr>
            </w:pPr>
          </w:p>
        </w:tc>
        <w:tc>
          <w:tcPr>
            <w:tcW w:w="1531" w:type="dxa"/>
            <w:vAlign w:val="center"/>
          </w:tcPr>
          <w:p>
            <w:pPr>
              <w:spacing w:line="300" w:lineRule="exact"/>
              <w:jc w:val="left"/>
              <w:rPr>
                <w:rFonts w:ascii="方正书宋_GBK" w:hAnsi="方正书宋_GBK" w:eastAsia="方正书宋_GBK" w:cs="方正书宋_GBK"/>
                <w:b/>
              </w:rPr>
            </w:pPr>
          </w:p>
        </w:tc>
        <w:tc>
          <w:tcPr>
            <w:tcW w:w="709" w:type="dxa"/>
            <w:vAlign w:val="center"/>
          </w:tcPr>
          <w:p>
            <w:pPr>
              <w:spacing w:line="300" w:lineRule="exact"/>
              <w:jc w:val="center"/>
              <w:rPr>
                <w:rFonts w:ascii="方正书宋_GBK" w:hAnsi="方正书宋_GBK" w:eastAsia="方正书宋_GBK" w:cs="方正书宋_GBK"/>
                <w:b/>
              </w:rPr>
            </w:pPr>
          </w:p>
        </w:tc>
        <w:tc>
          <w:tcPr>
            <w:tcW w:w="907" w:type="dxa"/>
            <w:vAlign w:val="center"/>
          </w:tcPr>
          <w:p>
            <w:pPr>
              <w:spacing w:line="300" w:lineRule="exact"/>
              <w:jc w:val="right"/>
              <w:rPr>
                <w:rFonts w:ascii="方正书宋_GBK" w:hAnsi="方正书宋_GBK" w:eastAsia="方正书宋_GBK" w:cs="方正书宋_GBK"/>
                <w:b/>
              </w:rPr>
            </w:pPr>
          </w:p>
        </w:tc>
        <w:tc>
          <w:tcPr>
            <w:tcW w:w="907"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lang w:val="en-US" w:eastAsia="zh-CN"/>
              </w:rPr>
              <w:t>107020</w:t>
            </w:r>
            <w:r>
              <w:rPr>
                <w:rFonts w:hint="eastAsia" w:ascii="方正书宋_GBK" w:hAnsi="方正书宋_GBK" w:eastAsia="方正书宋_GBK" w:cs="方正书宋_GBK"/>
                <w:b/>
              </w:rPr>
              <w:t>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lang w:val="en-US" w:eastAsia="zh-CN"/>
              </w:rPr>
              <w:t>107020</w:t>
            </w:r>
            <w:r>
              <w:rPr>
                <w:rFonts w:hint="eastAsia" w:ascii="方正书宋_GBK" w:hAnsi="方正书宋_GBK" w:eastAsia="方正书宋_GBK" w:cs="方正书宋_GBK"/>
                <w:b/>
              </w:rPr>
              <w:t>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公文运转</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45.00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180.00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8100.00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8100.00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70" w:hRule="atLeas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公文运转</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公文运转</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18.00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280.00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5040.00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5040.00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公文运转</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140.00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2800.00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2800.00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公文运转</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12500.00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公文运转</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公文运转</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240.00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7200.00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7200.00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公文运转</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公文运转</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公文运转</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公文运转</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76.00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760.00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760.00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公文运转</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份</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4500.00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90000.00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值班子系统运维费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46000.00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电子、通信与自动控制技术研究服务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C010313</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年</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协调县委大型会议和活动</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260000.00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本</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协调县委大型会议和活动</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260000.00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份</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22.00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55000.00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协调县委大型会议和活动</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260000.00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电子、通信与自动控制技术研究服务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C010313</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月</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公务接待活动</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册</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公务接待活动</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份</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信息收集民意调查信息网络管理</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信息收集民意调查信息网络管理</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信息收集民意调查信息网络管理</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信息收集民意调查信息网络管理</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280.00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2800.00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2800.00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信息收集民意调查信息网络管理</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68.00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1700.00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1700.00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信息收集民意调查信息网络管理</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份</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督查调研</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130.00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2600.00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2600.00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督查调研</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督查调研</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督查调研</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280.00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2240.00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2240.00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督查调研</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240.00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2880.00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2880.00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督查调研</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49.00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980.00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980.00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督查调研</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督查调研</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督查调研</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份</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3500.00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28000.00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28000.00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督查调研</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页</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0.50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专项公用经费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807896.00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汽油</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A160101</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升</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17500.00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17500.00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专项公用经费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807896.00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车辆维修和保养服务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C050301</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次</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12500.00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专项公用经费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807896.00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台式计算机</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A02010104</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台</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4900.00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4900.00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4900.00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专项公用经费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807896.00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传真通信设备</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A02081001</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台</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1600.00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1600.00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1600.00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专项公用经费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807896.00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木骨架沙发类</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A060402</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套</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专项公用经费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807896.00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其他台、桌类</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A060299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套</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专项公用经费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807896.00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木质柜类</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A060501</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组</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专项公用经费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807896.00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空调机</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A0206180203</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台</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专项公用经费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807896.00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普通电视设备（电视机）</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A02091001</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台</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2900.00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2900.00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2900.00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专项公用经费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807896.00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其他柜类</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A060599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组</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专项公用经费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807896.00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物理方法消毒设备</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A02040301</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专项公用经费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807896.00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饮食炊事机械</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A031210</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套</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12800.00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12800.00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12800.00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机关职工活动室、食堂改造及县委机关院西侧车库拆除、围墙维修美化及办公室内墙粉刷</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478900.00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其他维修和保养服务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C0599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478900.00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478900.00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478900.00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改革办经费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改革办经费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240.00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4800.00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4800.00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改革办经费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16.00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改革办经费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改革办经费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改革办经费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24.00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480.00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480.00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改革办经费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19.00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280.00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5320.00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5320.00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改革办经费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份</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日常公用经费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242600.00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240.00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21600.00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21600.00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日常公用经费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242600.00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280.00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19600.00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19600.00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日常公用经费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242600.00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108.00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240.00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25920.00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25920.00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日常公用经费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242600.00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其他不另分类的物品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A9999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328.00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3280.00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3280.00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隆尧县机关事务管理局小计</w:t>
            </w:r>
          </w:p>
        </w:tc>
        <w:tc>
          <w:tcPr>
            <w:tcW w:w="1134" w:type="dxa"/>
            <w:vAlign w:val="center"/>
          </w:tcPr>
          <w:p>
            <w:pPr>
              <w:spacing w:line="300" w:lineRule="exact"/>
              <w:jc w:val="right"/>
              <w:rPr>
                <w:rFonts w:ascii="方正书宋_GBK" w:hAnsi="方正书宋_GBK" w:eastAsia="方正书宋_GBK" w:cs="方正书宋_GBK"/>
                <w:b/>
              </w:rPr>
            </w:pPr>
          </w:p>
        </w:tc>
        <w:tc>
          <w:tcPr>
            <w:tcW w:w="1531" w:type="dxa"/>
            <w:vAlign w:val="center"/>
          </w:tcPr>
          <w:p>
            <w:pPr>
              <w:spacing w:line="300" w:lineRule="exact"/>
              <w:jc w:val="left"/>
              <w:rPr>
                <w:rFonts w:ascii="方正书宋_GBK" w:hAnsi="方正书宋_GBK" w:eastAsia="方正书宋_GBK" w:cs="方正书宋_GBK"/>
                <w:b/>
              </w:rPr>
            </w:pPr>
          </w:p>
        </w:tc>
        <w:tc>
          <w:tcPr>
            <w:tcW w:w="1531" w:type="dxa"/>
            <w:vAlign w:val="center"/>
          </w:tcPr>
          <w:p>
            <w:pPr>
              <w:spacing w:line="300" w:lineRule="exact"/>
              <w:jc w:val="left"/>
              <w:rPr>
                <w:rFonts w:ascii="方正书宋_GBK" w:hAnsi="方正书宋_GBK" w:eastAsia="方正书宋_GBK" w:cs="方正书宋_GBK"/>
                <w:b/>
              </w:rPr>
            </w:pPr>
          </w:p>
        </w:tc>
        <w:tc>
          <w:tcPr>
            <w:tcW w:w="709" w:type="dxa"/>
            <w:vAlign w:val="center"/>
          </w:tcPr>
          <w:p>
            <w:pPr>
              <w:spacing w:line="300" w:lineRule="exact"/>
              <w:jc w:val="center"/>
              <w:rPr>
                <w:rFonts w:ascii="方正书宋_GBK" w:hAnsi="方正书宋_GBK" w:eastAsia="方正书宋_GBK" w:cs="方正书宋_GBK"/>
                <w:b/>
              </w:rPr>
            </w:pPr>
          </w:p>
        </w:tc>
        <w:tc>
          <w:tcPr>
            <w:tcW w:w="907" w:type="dxa"/>
            <w:vAlign w:val="center"/>
          </w:tcPr>
          <w:p>
            <w:pPr>
              <w:spacing w:line="300" w:lineRule="exact"/>
              <w:jc w:val="right"/>
              <w:rPr>
                <w:rFonts w:ascii="方正书宋_GBK" w:hAnsi="方正书宋_GBK" w:eastAsia="方正书宋_GBK" w:cs="方正书宋_GBK"/>
                <w:b/>
              </w:rPr>
            </w:pPr>
          </w:p>
        </w:tc>
        <w:tc>
          <w:tcPr>
            <w:tcW w:w="907"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1674748.00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1674748.00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木制台、桌类</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A060205</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木制床类</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A060104</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空调机组</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A02052305</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台式计算机</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A02010104</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空调机组</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A02052305</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180.00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瓶</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份</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盒</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其他印刷品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A080299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张</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0.50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其他印刷品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A080299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张</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张</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本</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车辆及其他运输机械租赁服务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C0403</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辆</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37000.00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185000.00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185000.00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车辆及其他运输机械租赁服务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C0403</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辆</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29000.00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203000.00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203000.00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物业管理服务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C1204</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间</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17.00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1294.00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21998.00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21998.00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物业管理服务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C1204</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间</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17.00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5880.00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99960.00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99960.00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物业管理服务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C1204</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间</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92788.00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92788.00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92788.00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机关办公费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959748.00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物业管理服务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C1204</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间</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20002.00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20002.00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20002.00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公务用车运行维护费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945000.00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车辆维修和保养服务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C050301</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辆</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42.00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630000.00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630000.00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公务用车运行维护费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945000.00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车辆维修和保养服务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C050301</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辆</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公务用车运行维护费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945000.00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机动车保险服务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C15040201</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辆</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公务用车运行维护费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945000.00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车辆维修和保养服务</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C050301</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辆</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17500.00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35000.00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35000.00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文体活动室经费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58000.00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木制台、桌类</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A060205</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9000.00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文体活动室经费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58000.00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球类设备</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A033603</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文体活动室经费</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58000.00</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其他柜类</w:t>
            </w:r>
          </w:p>
        </w:tc>
        <w:tc>
          <w:tcPr>
            <w:tcW w:w="153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A060599</w:t>
            </w:r>
          </w:p>
        </w:tc>
        <w:tc>
          <w:tcPr>
            <w:tcW w:w="7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组</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907"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c>
          <w:tcPr>
            <w:tcW w:w="1134" w:type="dxa"/>
            <w:vAlign w:val="center"/>
          </w:tcPr>
          <w:p>
            <w:pPr>
              <w:spacing w:line="300" w:lineRule="exact"/>
              <w:jc w:val="right"/>
              <w:rPr>
                <w:rFonts w:ascii="方正书宋_GBK" w:hAnsi="方正书宋_GBK" w:eastAsia="方正书宋_GBK" w:cs="方正书宋_GBK"/>
                <w:b/>
              </w:rPr>
            </w:pPr>
          </w:p>
        </w:tc>
      </w:tr>
    </w:tbl>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spacing w:line="580" w:lineRule="atLeast"/>
        <w:ind w:firstLine="640"/>
        <w:jc w:val="left"/>
        <w:rPr>
          <w:rFonts w:ascii="仿宋" w:hAnsi="仿宋" w:eastAsia="仿宋" w:cs="仿宋_GB2312"/>
          <w:sz w:val="32"/>
          <w:szCs w:val="32"/>
        </w:rPr>
      </w:pPr>
      <w:r>
        <w:rPr>
          <w:rFonts w:hint="eastAsia" w:ascii="仿宋" w:hAnsi="仿宋" w:eastAsia="仿宋" w:cs="仿宋_GB2312"/>
          <w:sz w:val="32"/>
          <w:szCs w:val="32"/>
        </w:rPr>
        <w:t>我单位2019年末固定资产总额</w:t>
      </w:r>
      <w:r>
        <w:rPr>
          <w:rFonts w:hint="eastAsia" w:ascii="仿宋" w:hAnsi="仿宋" w:eastAsia="仿宋" w:cs="仿宋_GB2312"/>
          <w:color w:val="000000"/>
          <w:sz w:val="32"/>
          <w:szCs w:val="32"/>
        </w:rPr>
        <w:t>2417.62</w:t>
      </w:r>
      <w:r>
        <w:rPr>
          <w:rFonts w:hint="eastAsia" w:ascii="仿宋" w:hAnsi="仿宋" w:eastAsia="仿宋" w:cs="仿宋_GB2312"/>
          <w:sz w:val="32"/>
          <w:szCs w:val="32"/>
        </w:rPr>
        <w:t>万元，其中：房屋26761.67平方米，价值1422.63万元；公车占用数量48辆，价值</w:t>
      </w:r>
      <w:r>
        <w:rPr>
          <w:rFonts w:hint="eastAsia" w:ascii="仿宋" w:hAnsi="仿宋" w:eastAsia="仿宋" w:cs="仿宋_GB2312"/>
          <w:color w:val="000000"/>
          <w:sz w:val="32"/>
          <w:szCs w:val="32"/>
        </w:rPr>
        <w:t>770.04</w:t>
      </w:r>
      <w:r>
        <w:rPr>
          <w:rFonts w:hint="eastAsia" w:ascii="仿宋" w:hAnsi="仿宋" w:eastAsia="仿宋" w:cs="仿宋_GB2312"/>
          <w:sz w:val="32"/>
          <w:szCs w:val="32"/>
        </w:rPr>
        <w:t>万元；其他固定资产</w:t>
      </w:r>
      <w:r>
        <w:rPr>
          <w:rFonts w:hint="eastAsia" w:ascii="仿宋" w:hAnsi="仿宋" w:eastAsia="仿宋" w:cs="Times New Roman"/>
          <w:color w:val="000000"/>
          <w:sz w:val="32"/>
          <w:szCs w:val="32"/>
        </w:rPr>
        <w:t>174.73</w:t>
      </w:r>
      <w:r>
        <w:rPr>
          <w:rFonts w:hint="eastAsia" w:ascii="仿宋" w:hAnsi="仿宋" w:eastAsia="仿宋" w:cs="仿宋_GB2312"/>
          <w:sz w:val="32"/>
          <w:szCs w:val="32"/>
        </w:rPr>
        <w:t>万元。</w:t>
      </w:r>
      <w:r>
        <w:rPr>
          <w:rFonts w:ascii="仿宋" w:hAnsi="仿宋" w:eastAsia="仿宋" w:cs="Times New Roman"/>
          <w:color w:val="000000"/>
          <w:sz w:val="32"/>
          <w:szCs w:val="32"/>
        </w:rPr>
        <w:t>本年度各单位</w:t>
      </w:r>
      <w:r>
        <w:rPr>
          <w:rFonts w:hint="eastAsia" w:ascii="仿宋" w:hAnsi="仿宋" w:eastAsia="仿宋" w:cs="Times New Roman"/>
          <w:color w:val="000000"/>
          <w:sz w:val="32"/>
          <w:szCs w:val="32"/>
        </w:rPr>
        <w:t>（处室）</w:t>
      </w:r>
      <w:r>
        <w:rPr>
          <w:rFonts w:ascii="仿宋" w:hAnsi="仿宋" w:eastAsia="仿宋" w:cs="Times New Roman"/>
          <w:color w:val="000000"/>
          <w:sz w:val="32"/>
          <w:szCs w:val="32"/>
        </w:rPr>
        <w:t>拟购置固定资产</w:t>
      </w:r>
      <w:r>
        <w:rPr>
          <w:rFonts w:hint="eastAsia" w:ascii="仿宋" w:hAnsi="仿宋" w:eastAsia="仿宋" w:cs="Times New Roman"/>
          <w:color w:val="000000"/>
          <w:sz w:val="32"/>
          <w:szCs w:val="32"/>
        </w:rPr>
        <w:t xml:space="preserve">总额为 7.99 </w:t>
      </w:r>
      <w:r>
        <w:rPr>
          <w:rFonts w:ascii="仿宋" w:hAnsi="仿宋" w:eastAsia="仿宋" w:cs="Times New Roman"/>
          <w:color w:val="000000"/>
          <w:sz w:val="32"/>
          <w:szCs w:val="32"/>
        </w:rPr>
        <w:t>万元，主要为计算机、空调、</w:t>
      </w:r>
      <w:r>
        <w:rPr>
          <w:rFonts w:hint="eastAsia" w:ascii="仿宋" w:hAnsi="仿宋" w:eastAsia="仿宋" w:cs="Times New Roman"/>
          <w:color w:val="000000"/>
          <w:sz w:val="32"/>
          <w:szCs w:val="32"/>
        </w:rPr>
        <w:t>办公家具、会议桌</w:t>
      </w:r>
      <w:r>
        <w:rPr>
          <w:rFonts w:ascii="仿宋" w:hAnsi="仿宋" w:eastAsia="仿宋" w:cs="Times New Roman"/>
          <w:color w:val="000000"/>
          <w:sz w:val="32"/>
          <w:szCs w:val="32"/>
        </w:rPr>
        <w:t>等，已列入政府采购预算表</w:t>
      </w:r>
      <w:r>
        <w:rPr>
          <w:rFonts w:hint="eastAsia" w:ascii="仿宋" w:hAnsi="仿宋" w:eastAsia="仿宋" w:cs="Times New Roman"/>
          <w:color w:val="000000"/>
          <w:sz w:val="32"/>
          <w:szCs w:val="32"/>
        </w:rPr>
        <w:t>，详见政府采购预算表。</w:t>
      </w:r>
    </w:p>
    <w:p>
      <w:pPr>
        <w:ind w:firstLine="640"/>
        <w:rPr>
          <w:rFonts w:ascii="Times New Roman" w:hAnsi="Times New Roman" w:eastAsia="仿宋" w:cs="Times New Roman"/>
          <w:color w:val="000000"/>
          <w:sz w:val="32"/>
          <w:szCs w:val="32"/>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hint="eastAsia" w:ascii="宋体" w:hAnsi="宋体" w:cs="宋体"/>
                <w:b/>
                <w:bCs/>
                <w:kern w:val="0"/>
                <w:sz w:val="32"/>
                <w:szCs w:val="32"/>
              </w:rPr>
            </w:pPr>
          </w:p>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中共隆尧县委</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rPr>
              <w:t>19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仿宋" w:hAnsi="仿宋" w:eastAsia="仿宋" w:cs="仿宋_GB2312"/>
                <w:color w:val="000000"/>
                <w:sz w:val="32"/>
                <w:szCs w:val="32"/>
              </w:rPr>
              <w:t>2417.62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仿宋" w:hAnsi="仿宋" w:eastAsia="仿宋" w:cs="仿宋_GB2312"/>
                <w:sz w:val="32"/>
                <w:szCs w:val="32"/>
              </w:rPr>
              <w:t>26761.67</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仿宋" w:hAnsi="仿宋" w:eastAsia="仿宋" w:cs="仿宋_GB2312"/>
                <w:sz w:val="32"/>
                <w:szCs w:val="32"/>
              </w:rPr>
              <w:t>1422.63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仿宋" w:hAnsi="仿宋" w:eastAsia="仿宋" w:cs="仿宋_GB2312"/>
                <w:sz w:val="32"/>
                <w:szCs w:val="32"/>
              </w:rPr>
              <w:t>26761.67</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仿宋" w:hAnsi="仿宋" w:eastAsia="仿宋" w:cs="仿宋_GB2312"/>
                <w:sz w:val="32"/>
                <w:szCs w:val="32"/>
              </w:rPr>
              <w:t>1422.63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仿宋" w:hAnsi="仿宋" w:eastAsia="仿宋" w:cs="仿宋_GB2312"/>
                <w:sz w:val="32"/>
                <w:szCs w:val="32"/>
              </w:rPr>
              <w:t>48</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仿宋_GB2312"/>
                <w:sz w:val="32"/>
                <w:szCs w:val="32"/>
              </w:rPr>
            </w:pPr>
            <w:r>
              <w:rPr>
                <w:rFonts w:hint="eastAsia" w:ascii="仿宋" w:hAnsi="仿宋" w:eastAsia="仿宋" w:cs="仿宋_GB2312"/>
                <w:sz w:val="32"/>
                <w:szCs w:val="32"/>
              </w:rPr>
              <w:t>770.04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仿宋_GB2312"/>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仿宋_GB2312"/>
                <w:sz w:val="32"/>
                <w:szCs w:val="32"/>
              </w:rPr>
            </w:pPr>
            <w:r>
              <w:rPr>
                <w:rFonts w:hint="eastAsia" w:ascii="仿宋" w:hAnsi="仿宋" w:eastAsia="仿宋" w:cs="仿宋_GB2312"/>
                <w:sz w:val="32"/>
                <w:szCs w:val="32"/>
              </w:rPr>
              <w:t>174.73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我部门涉密项目未公开。</w:t>
      </w:r>
    </w:p>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br w:type="page"/>
      </w:r>
    </w:p>
    <w:p>
      <w:pPr>
        <w:autoSpaceDE w:val="0"/>
        <w:autoSpaceDN w:val="0"/>
        <w:adjustRightInd w:val="0"/>
        <w:ind w:firstLine="960" w:firstLineChars="300"/>
        <w:jc w:val="left"/>
        <w:rPr>
          <w:rFonts w:ascii="黑体" w:hAnsi="黑体" w:eastAsia="黑体" w:cs="Times New Roman"/>
          <w:sz w:val="32"/>
          <w:szCs w:val="32"/>
        </w:rPr>
        <w:sectPr>
          <w:pgSz w:w="16838" w:h="11906" w:orient="landscape"/>
          <w:pgMar w:top="1800" w:right="1440" w:bottom="1800" w:left="1440" w:header="851" w:footer="992" w:gutter="0"/>
          <w:cols w:space="720" w:num="1"/>
          <w:docGrid w:type="lines" w:linePitch="312" w:charSpace="0"/>
        </w:sectPr>
      </w:pPr>
    </w:p>
    <w:p>
      <w:pPr>
        <w:autoSpaceDE w:val="0"/>
        <w:autoSpaceDN w:val="0"/>
        <w:adjustRightInd w:val="0"/>
        <w:jc w:val="left"/>
        <w:rPr>
          <w:rFonts w:ascii="黑体" w:hAnsi="黑体" w:eastAsia="黑体" w:cs="Times New Roman"/>
          <w:sz w:val="32"/>
          <w:szCs w:val="32"/>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C3717702-7EE3-4BD2-BA0A-D5167EA184BE}"/>
  </w:font>
  <w:font w:name="Arial">
    <w:panose1 w:val="020B0604020202020204"/>
    <w:charset w:val="01"/>
    <w:family w:val="swiss"/>
    <w:pitch w:val="default"/>
    <w:sig w:usb0="E0002AFF" w:usb1="C0007843" w:usb2="00000009" w:usb3="00000000" w:csb0="400001FF" w:csb1="FFFF0000"/>
    <w:embedRegular r:id="rId2" w:fontKey="{0633EAE0-254A-453D-9D65-301BFD069D9D}"/>
  </w:font>
  <w:font w:name="黑体">
    <w:panose1 w:val="02010609060101010101"/>
    <w:charset w:val="86"/>
    <w:family w:val="auto"/>
    <w:pitch w:val="default"/>
    <w:sig w:usb0="800002BF" w:usb1="38CF7CFA" w:usb2="00000016" w:usb3="00000000" w:csb0="00040001" w:csb1="00000000"/>
    <w:embedRegular r:id="rId3" w:fontKey="{F07F8D8A-4AFC-4249-AE73-0ABB4CC9AD08}"/>
  </w:font>
  <w:font w:name="Courier New">
    <w:panose1 w:val="02070309020205020404"/>
    <w:charset w:val="01"/>
    <w:family w:val="modern"/>
    <w:pitch w:val="default"/>
    <w:sig w:usb0="E0002AFF" w:usb1="C0007843" w:usb2="00000009" w:usb3="00000000" w:csb0="400001FF" w:csb1="FFFF0000"/>
    <w:embedRegular r:id="rId4" w:fontKey="{C5C637B5-74D2-4EDF-B750-BB113820B58C}"/>
  </w:font>
  <w:font w:name="Symbol">
    <w:panose1 w:val="05050102010706020507"/>
    <w:charset w:val="02"/>
    <w:family w:val="roman"/>
    <w:pitch w:val="default"/>
    <w:sig w:usb0="00000000" w:usb1="00000000" w:usb2="00000000" w:usb3="00000000" w:csb0="80000000" w:csb1="00000000"/>
    <w:embedRegular r:id="rId5" w:fontKey="{FEE0C47D-BD75-491A-857A-48A7F5370749}"/>
  </w:font>
  <w:font w:name="Calibri">
    <w:panose1 w:val="020F0502020204030204"/>
    <w:charset w:val="00"/>
    <w:family w:val="swiss"/>
    <w:pitch w:val="default"/>
    <w:sig w:usb0="E00002FF" w:usb1="4000ACFF" w:usb2="00000001" w:usb3="00000000" w:csb0="2000019F" w:csb1="00000000"/>
    <w:embedRegular r:id="rId6" w:fontKey="{97867EDF-AA81-40E0-B153-F36B39121A13}"/>
  </w:font>
  <w:font w:name="方正小标宋_GBK">
    <w:panose1 w:val="03000509000000000000"/>
    <w:charset w:val="86"/>
    <w:family w:val="script"/>
    <w:pitch w:val="default"/>
    <w:sig w:usb0="00000001" w:usb1="080E0000" w:usb2="00000000" w:usb3="00000000" w:csb0="00040000" w:csb1="00000000"/>
    <w:embedRegular r:id="rId7" w:fontKey="{78DBECC4-129E-41A3-B788-615A9CB0DD1F}"/>
  </w:font>
  <w:font w:name="仿宋">
    <w:panose1 w:val="02010609060101010101"/>
    <w:charset w:val="86"/>
    <w:family w:val="modern"/>
    <w:pitch w:val="default"/>
    <w:sig w:usb0="800002BF" w:usb1="38CF7CFA" w:usb2="00000016" w:usb3="00000000" w:csb0="00040001" w:csb1="00000000"/>
    <w:embedRegular r:id="rId8" w:fontKey="{8CF6ED87-470D-454D-8E88-9D32D38F221F}"/>
  </w:font>
  <w:font w:name="仿宋_GB2312">
    <w:panose1 w:val="02010609030101010101"/>
    <w:charset w:val="86"/>
    <w:family w:val="auto"/>
    <w:pitch w:val="default"/>
    <w:sig w:usb0="00000001" w:usb1="080E0000" w:usb2="00000000" w:usb3="00000000" w:csb0="00040000" w:csb1="00000000"/>
    <w:embedRegular r:id="rId9" w:fontKey="{A24D2AE2-39BF-426E-AB5A-6F514310FC99}"/>
  </w:font>
  <w:font w:name="方正仿宋_GBK">
    <w:panose1 w:val="03000509000000000000"/>
    <w:charset w:val="86"/>
    <w:family w:val="script"/>
    <w:pitch w:val="default"/>
    <w:sig w:usb0="00000001" w:usb1="080E0000" w:usb2="00000000" w:usb3="00000000" w:csb0="00040000" w:csb1="00000000"/>
    <w:embedRegular r:id="rId10" w:fontKey="{078DE81E-D7AF-4907-A2C8-31E1B5172E0E}"/>
  </w:font>
  <w:font w:name="新宋体">
    <w:panose1 w:val="02010609030101010101"/>
    <w:charset w:val="86"/>
    <w:family w:val="modern"/>
    <w:pitch w:val="default"/>
    <w:sig w:usb0="00000003" w:usb1="288F0000" w:usb2="00000006" w:usb3="00000000" w:csb0="00040001" w:csb1="00000000"/>
    <w:embedRegular r:id="rId11" w:fontKey="{65F4A9AA-E28C-4DD8-9CEE-58CBF327779A}"/>
  </w:font>
  <w:font w:name="楷体">
    <w:panose1 w:val="02010609060101010101"/>
    <w:charset w:val="86"/>
    <w:family w:val="modern"/>
    <w:pitch w:val="default"/>
    <w:sig w:usb0="800002BF" w:usb1="38CF7CFA" w:usb2="00000016" w:usb3="00000000" w:csb0="00040001" w:csb1="00000000"/>
    <w:embedRegular r:id="rId12" w:fontKey="{966E76FB-22D8-4759-9E29-5A24C327789A}"/>
  </w:font>
  <w:font w:name="方正书宋_GBK">
    <w:panose1 w:val="03000509000000000000"/>
    <w:charset w:val="86"/>
    <w:family w:val="script"/>
    <w:pitch w:val="default"/>
    <w:sig w:usb0="00000001" w:usb1="080E0000" w:usb2="00000000" w:usb3="00000000" w:csb0="00040000" w:csb1="00000000"/>
    <w:embedRegular r:id="rId13" w:fontKey="{4C80D40D-D125-489A-AECA-90112C5D372C}"/>
  </w:font>
  <w:font w:name="宋体-方正超大字符集">
    <w:altName w:val="宋体"/>
    <w:panose1 w:val="00000000000000000000"/>
    <w:charset w:val="86"/>
    <w:family w:val="auto"/>
    <w:pitch w:val="default"/>
    <w:sig w:usb0="00000000" w:usb1="00000000" w:usb2="00000000" w:usb3="00000000" w:csb0="00040000" w:csb1="00000000"/>
    <w:embedRegular r:id="rId14" w:fontKey="{61F5BD92-4310-4807-8522-28F360D6EF2D}"/>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3CF135"/>
    <w:multiLevelType w:val="singleLevel"/>
    <w:tmpl w:val="5E3CF135"/>
    <w:lvl w:ilvl="0" w:tentative="0">
      <w:start w:val="6"/>
      <w:numFmt w:val="decimal"/>
      <w:suff w:val="nothing"/>
      <w:lvlText w:val="%1、"/>
      <w:lvlJc w:val="left"/>
    </w:lvl>
  </w:abstractNum>
  <w:abstractNum w:abstractNumId="1">
    <w:nsid w:val="5E3D0F3C"/>
    <w:multiLevelType w:val="singleLevel"/>
    <w:tmpl w:val="5E3D0F3C"/>
    <w:lvl w:ilvl="0" w:tentative="0">
      <w:start w:val="2"/>
      <w:numFmt w:val="decimal"/>
      <w:suff w:val="nothing"/>
      <w:lvlText w:val="%1、"/>
      <w:lvlJc w:val="left"/>
    </w:lvl>
  </w:abstractNum>
  <w:abstractNum w:abstractNumId="2">
    <w:nsid w:val="5E3D109C"/>
    <w:multiLevelType w:val="singleLevel"/>
    <w:tmpl w:val="5E3D109C"/>
    <w:lvl w:ilvl="0" w:tentative="0">
      <w:start w:val="5"/>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01ECF"/>
    <w:rsid w:val="000C7140"/>
    <w:rsid w:val="00121BD8"/>
    <w:rsid w:val="002D1171"/>
    <w:rsid w:val="00323B29"/>
    <w:rsid w:val="0039059E"/>
    <w:rsid w:val="003A0D95"/>
    <w:rsid w:val="00631B96"/>
    <w:rsid w:val="00715C33"/>
    <w:rsid w:val="007F0341"/>
    <w:rsid w:val="009A521C"/>
    <w:rsid w:val="00A052F8"/>
    <w:rsid w:val="00B9327F"/>
    <w:rsid w:val="00C25D96"/>
    <w:rsid w:val="00D607DA"/>
    <w:rsid w:val="00DC6EE5"/>
    <w:rsid w:val="00EE71BA"/>
    <w:rsid w:val="00F867E4"/>
    <w:rsid w:val="06A12E38"/>
    <w:rsid w:val="08AC0A7E"/>
    <w:rsid w:val="0E3C5AE6"/>
    <w:rsid w:val="113913AA"/>
    <w:rsid w:val="19004523"/>
    <w:rsid w:val="198A25DF"/>
    <w:rsid w:val="1C522D0D"/>
    <w:rsid w:val="21246B24"/>
    <w:rsid w:val="223B1B32"/>
    <w:rsid w:val="22D71213"/>
    <w:rsid w:val="289E75E7"/>
    <w:rsid w:val="29D226DB"/>
    <w:rsid w:val="33461D88"/>
    <w:rsid w:val="335F0F2C"/>
    <w:rsid w:val="3B8242A6"/>
    <w:rsid w:val="3DE859ED"/>
    <w:rsid w:val="43223B94"/>
    <w:rsid w:val="47960A01"/>
    <w:rsid w:val="4B2B3A8D"/>
    <w:rsid w:val="4B2D621B"/>
    <w:rsid w:val="4B947761"/>
    <w:rsid w:val="4D816D93"/>
    <w:rsid w:val="4F29290F"/>
    <w:rsid w:val="50AB6D22"/>
    <w:rsid w:val="5AD619FA"/>
    <w:rsid w:val="5C946F49"/>
    <w:rsid w:val="5C962E9C"/>
    <w:rsid w:val="5CDC60A9"/>
    <w:rsid w:val="5DAB09D0"/>
    <w:rsid w:val="60891113"/>
    <w:rsid w:val="674A3EC7"/>
    <w:rsid w:val="696173F8"/>
    <w:rsid w:val="6D1D1BCE"/>
    <w:rsid w:val="70DF1399"/>
    <w:rsid w:val="72051B96"/>
    <w:rsid w:val="73A07755"/>
    <w:rsid w:val="754568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 w:type="paragraph" w:customStyle="1" w:styleId="15">
    <w:name w:val="正文1"/>
    <w:basedOn w:val="16"/>
    <w:qFormat/>
    <w:uiPriority w:val="7"/>
    <w:pPr>
      <w:jc w:val="both"/>
    </w:pPr>
    <w:rPr>
      <w:rFonts w:ascii="Times New Roman" w:hAnsi="Times New Roman" w:eastAsia="Times New Roman"/>
      <w:sz w:val="21"/>
    </w:rPr>
  </w:style>
  <w:style w:type="paragraph" w:customStyle="1" w:styleId="16">
    <w:name w:val="[Normal]"/>
    <w:qFormat/>
    <w:uiPriority w:val="6"/>
    <w:rPr>
      <w:rFonts w:ascii="宋体" w:hAnsi="宋体" w:eastAsia="宋体" w:cs="Times New Roman"/>
      <w:sz w:val="24"/>
      <w:szCs w:val="22"/>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30</Pages>
  <Words>2418</Words>
  <Characters>13784</Characters>
  <Lines>114</Lines>
  <Paragraphs>32</Paragraphs>
  <TotalTime>5</TotalTime>
  <ScaleCrop>false</ScaleCrop>
  <LinksUpToDate>false</LinksUpToDate>
  <CharactersWithSpaces>16170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葱葱</cp:lastModifiedBy>
  <cp:lastPrinted>2020-01-10T15:53:00Z</cp:lastPrinted>
  <dcterms:modified xsi:type="dcterms:W3CDTF">2021-06-15T02:28:58Z</dcterms:modified>
  <dc:title>o</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37EB5A2005604D43B378C65A03C4E2F0</vt:lpwstr>
  </property>
  <property fmtid="{D5CDD505-2E9C-101B-9397-08002B2CF9AE}" pid="4" name="KSOSaveFontToCloudKey">
    <vt:lpwstr>443063933_embed</vt:lpwstr>
  </property>
</Properties>
</file>