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隆尧县民政局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按照《预算法》、《地方预决算公开操作规程》和《河北省省级预算公开办法》规定，现将隆尧县民局</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ind w:firstLine="640" w:firstLineChars="200"/>
        <w:rPr>
          <w:rFonts w:ascii="仿宋" w:hAnsi="仿宋" w:eastAsia="仿宋" w:cs="Times New Roman"/>
          <w:sz w:val="32"/>
          <w:szCs w:val="32"/>
        </w:rPr>
      </w:pPr>
      <w:r>
        <w:rPr>
          <w:rFonts w:hint="eastAsia" w:ascii="仿宋" w:hAnsi="仿宋" w:eastAsia="仿宋" w:cs="仿宋"/>
          <w:sz w:val="32"/>
          <w:szCs w:val="32"/>
        </w:rPr>
        <w:t>（一）社会救助政策及管理，承担社会救助体系建设，负责城乡居民最低生活保障、五保供养、医疗救助。完善城乡社会救助制度，实施分类救助，应保尽保</w:t>
      </w:r>
      <w:r>
        <w:rPr>
          <w:rFonts w:ascii="仿宋" w:hAnsi="仿宋" w:eastAsia="仿宋" w:cs="仿宋"/>
          <w:sz w:val="32"/>
          <w:szCs w:val="32"/>
        </w:rPr>
        <w:t>,</w:t>
      </w:r>
      <w:r>
        <w:rPr>
          <w:rFonts w:hint="eastAsia" w:ascii="仿宋" w:hAnsi="仿宋" w:eastAsia="仿宋" w:cs="仿宋"/>
          <w:sz w:val="32"/>
          <w:szCs w:val="32"/>
        </w:rPr>
        <w:t>动态管理。</w:t>
      </w:r>
    </w:p>
    <w:p>
      <w:pPr>
        <w:ind w:firstLine="640" w:firstLineChars="200"/>
        <w:rPr>
          <w:rFonts w:ascii="仿宋" w:hAnsi="仿宋" w:eastAsia="仿宋" w:cs="Times New Roman"/>
          <w:sz w:val="32"/>
          <w:szCs w:val="32"/>
        </w:rPr>
      </w:pPr>
      <w:r>
        <w:rPr>
          <w:rFonts w:hint="eastAsia" w:ascii="仿宋" w:hAnsi="仿宋" w:eastAsia="仿宋" w:cs="仿宋"/>
          <w:sz w:val="32"/>
          <w:szCs w:val="32"/>
        </w:rP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）扶贫开发根据上级要求精准扶贫，产业脱贫，扶贫建档立卡工作。</w:t>
      </w:r>
    </w:p>
    <w:p>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）残疾人生活补贴和困难补贴按上级要求逐步发放。</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隆尧县民政局部门机构设置情况：</w:t>
      </w:r>
    </w:p>
    <w:tbl>
      <w:tblPr>
        <w:tblStyle w:val="7"/>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单位名称</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单位性质</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单位规格</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隆尧县民政局（机关）</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行政</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正科级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隆尧县第一中心敬老院</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隆尧县殡仪馆</w:t>
            </w:r>
          </w:p>
        </w:tc>
        <w:tc>
          <w:tcPr>
            <w:tcW w:w="3543"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bl>
    <w:p>
      <w:pPr>
        <w:ind w:firstLine="640"/>
        <w:rPr>
          <w:rFonts w:ascii="黑体" w:hAnsi="黑体" w:eastAsia="黑体" w:cs="Times New Roman"/>
          <w:sz w:val="32"/>
          <w:szCs w:val="32"/>
        </w:rPr>
      </w:pPr>
    </w:p>
    <w:p>
      <w:pPr>
        <w:ind w:firstLine="640"/>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按照预算管理有关规定，目前我局部门预算的编制实行综合预算制度，即全部收入和支出都反映预算中。隆尧县民政局机关及所属事业单位的收支包含在部门预算中。</w:t>
      </w:r>
    </w:p>
    <w:p>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1</w:t>
      </w:r>
      <w:r>
        <w:rPr>
          <w:rFonts w:hint="eastAsia" w:ascii="仿宋" w:hAnsi="仿宋" w:eastAsia="仿宋" w:cs="仿宋"/>
          <w:b/>
          <w:bCs/>
          <w:color w:val="000000"/>
          <w:sz w:val="32"/>
          <w:szCs w:val="32"/>
        </w:rPr>
        <w:t>、收入说明</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反映本部门当年全部收入。</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年财政拨款预算收入</w:t>
      </w:r>
      <w:r>
        <w:rPr>
          <w:rFonts w:hint="eastAsia" w:ascii="仿宋" w:hAnsi="仿宋" w:eastAsia="仿宋" w:cs="仿宋"/>
          <w:kern w:val="0"/>
          <w:sz w:val="32"/>
          <w:szCs w:val="32"/>
        </w:rPr>
        <w:t>9607</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6474</w:t>
      </w:r>
      <w:r>
        <w:rPr>
          <w:rFonts w:hint="eastAsia" w:ascii="仿宋" w:hAnsi="仿宋" w:eastAsia="仿宋" w:cs="仿宋"/>
          <w:color w:val="000000"/>
          <w:sz w:val="32"/>
          <w:szCs w:val="32"/>
        </w:rPr>
        <w:t>万元。</w:t>
      </w:r>
    </w:p>
    <w:p>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2</w:t>
      </w:r>
      <w:r>
        <w:rPr>
          <w:rFonts w:hint="eastAsia" w:ascii="仿宋" w:hAnsi="仿宋" w:eastAsia="仿宋" w:cs="仿宋"/>
          <w:b/>
          <w:bCs/>
          <w:color w:val="000000"/>
          <w:sz w:val="32"/>
          <w:szCs w:val="32"/>
        </w:rPr>
        <w:t>、支出说明</w:t>
      </w:r>
    </w:p>
    <w:p>
      <w:pPr>
        <w:jc w:val="left"/>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hint="eastAsia" w:ascii="仿宋" w:hAnsi="仿宋" w:eastAsia="仿宋" w:cs="仿宋"/>
          <w:color w:val="000000"/>
          <w:sz w:val="32"/>
          <w:szCs w:val="32"/>
        </w:rPr>
        <w:t>收支预算总表支出栏、基本支出表、项目支出表按经济分类和支出功能分类科目编制，反映隆尧县民政局年度部门预算中支出预算的总体情况。</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年支出预算</w:t>
      </w:r>
      <w:r>
        <w:rPr>
          <w:rFonts w:hint="eastAsia" w:ascii="仿宋" w:hAnsi="仿宋" w:eastAsia="仿宋" w:cs="仿宋"/>
          <w:kern w:val="0"/>
          <w:sz w:val="32"/>
          <w:szCs w:val="32"/>
        </w:rPr>
        <w:t>9607</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6474</w:t>
      </w:r>
      <w:r>
        <w:rPr>
          <w:rFonts w:hint="eastAsia" w:ascii="仿宋" w:hAnsi="仿宋" w:eastAsia="仿宋" w:cs="仿宋"/>
          <w:color w:val="000000"/>
          <w:sz w:val="32"/>
          <w:szCs w:val="32"/>
        </w:rPr>
        <w:t>万元，其中社会保障和就业支出</w:t>
      </w:r>
      <w:r>
        <w:rPr>
          <w:rFonts w:hint="eastAsia" w:ascii="仿宋" w:hAnsi="仿宋" w:eastAsia="仿宋" w:cs="仿宋"/>
          <w:kern w:val="0"/>
          <w:sz w:val="32"/>
          <w:szCs w:val="32"/>
        </w:rPr>
        <w:t>5893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3811</w:t>
      </w:r>
      <w:r>
        <w:rPr>
          <w:rFonts w:hint="eastAsia" w:ascii="仿宋" w:hAnsi="仿宋" w:eastAsia="仿宋" w:cs="仿宋"/>
          <w:color w:val="000000"/>
          <w:sz w:val="32"/>
          <w:szCs w:val="32"/>
        </w:rPr>
        <w:t>万元，其中包括城乡低保支出、农村特困人员救助支出等；卫生健康支出9</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3477万元，</w:t>
      </w:r>
      <w:r>
        <w:rPr>
          <w:rFonts w:hint="eastAsia" w:ascii="仿宋" w:hAnsi="仿宋" w:eastAsia="仿宋" w:cs="仿宋"/>
          <w:color w:val="000000"/>
          <w:sz w:val="32"/>
          <w:szCs w:val="32"/>
          <w:lang w:eastAsia="zh-CN"/>
        </w:rPr>
        <w:t>主要是在职人员医疗保险费</w:t>
      </w:r>
      <w:r>
        <w:rPr>
          <w:rFonts w:hint="eastAsia" w:ascii="仿宋" w:hAnsi="仿宋" w:eastAsia="仿宋" w:cs="仿宋"/>
          <w:color w:val="000000"/>
          <w:sz w:val="32"/>
          <w:szCs w:val="32"/>
        </w:rPr>
        <w:t>支出等；农林水支出</w:t>
      </w:r>
      <w:r>
        <w:rPr>
          <w:rFonts w:hint="eastAsia" w:ascii="仿宋" w:hAnsi="仿宋" w:eastAsia="仿宋" w:cs="仿宋"/>
          <w:color w:val="000000"/>
          <w:sz w:val="32"/>
          <w:szCs w:val="32"/>
          <w:lang w:val="en-US" w:eastAsia="zh-CN"/>
        </w:rPr>
        <w:t>3376</w:t>
      </w:r>
      <w:r>
        <w:rPr>
          <w:rFonts w:hint="eastAsia" w:ascii="仿宋" w:hAnsi="仿宋" w:eastAsia="仿宋" w:cs="仿宋"/>
          <w:color w:val="000000"/>
          <w:sz w:val="32"/>
          <w:szCs w:val="32"/>
        </w:rPr>
        <w:t>万元，其中主要用于扶贫开发支出；住房保障支出</w:t>
      </w:r>
      <w:r>
        <w:rPr>
          <w:rFonts w:hint="eastAsia" w:ascii="仿宋" w:hAnsi="仿宋" w:eastAsia="仿宋" w:cs="仿宋"/>
          <w:color w:val="000000"/>
          <w:sz w:val="32"/>
          <w:szCs w:val="32"/>
          <w:lang w:val="en-US" w:eastAsia="zh-CN"/>
        </w:rPr>
        <w:t>16.9436</w:t>
      </w:r>
      <w:r>
        <w:rPr>
          <w:rFonts w:hint="eastAsia" w:ascii="仿宋" w:hAnsi="仿宋" w:eastAsia="仿宋" w:cs="仿宋"/>
          <w:color w:val="000000"/>
          <w:sz w:val="32"/>
          <w:szCs w:val="32"/>
        </w:rPr>
        <w:t>万元，主要是住房公积金；其他支出</w:t>
      </w:r>
      <w:r>
        <w:rPr>
          <w:rFonts w:hint="eastAsia" w:ascii="仿宋" w:hAnsi="仿宋" w:eastAsia="仿宋" w:cs="仿宋"/>
          <w:color w:val="000000"/>
          <w:sz w:val="32"/>
          <w:szCs w:val="32"/>
          <w:lang w:val="en-US" w:eastAsia="zh-CN"/>
        </w:rPr>
        <w:t>311.975</w:t>
      </w:r>
      <w:r>
        <w:rPr>
          <w:rFonts w:hint="eastAsia" w:ascii="仿宋" w:hAnsi="仿宋" w:eastAsia="仿宋" w:cs="仿宋"/>
          <w:color w:val="000000"/>
          <w:sz w:val="32"/>
          <w:szCs w:val="32"/>
        </w:rPr>
        <w:t>万元，主要为福彩公益金和政府性基金支出。</w:t>
      </w:r>
    </w:p>
    <w:p>
      <w:pPr>
        <w:autoSpaceDE w:val="0"/>
        <w:autoSpaceDN w:val="0"/>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3</w:t>
      </w:r>
      <w:r>
        <w:rPr>
          <w:rFonts w:hint="eastAsia" w:ascii="仿宋" w:hAnsi="仿宋" w:eastAsia="仿宋" w:cs="仿宋"/>
          <w:b/>
          <w:bCs/>
          <w:color w:val="000000"/>
          <w:sz w:val="32"/>
          <w:szCs w:val="32"/>
        </w:rPr>
        <w:t>、比上年增减情况</w:t>
      </w:r>
    </w:p>
    <w:p>
      <w:pPr>
        <w:autoSpaceDE w:val="0"/>
        <w:autoSpaceDN w:val="0"/>
        <w:adjustRightInd w:val="0"/>
        <w:ind w:firstLine="640" w:firstLineChars="200"/>
        <w:jc w:val="left"/>
        <w:rPr>
          <w:rFonts w:ascii="仿宋" w:hAnsi="仿宋" w:eastAsia="仿宋" w:cs="Times New Roman"/>
          <w:kern w:val="0"/>
          <w:sz w:val="30"/>
          <w:szCs w:val="30"/>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年预算收支安排</w:t>
      </w:r>
      <w:r>
        <w:rPr>
          <w:rFonts w:hint="eastAsia" w:ascii="仿宋" w:hAnsi="仿宋" w:eastAsia="仿宋" w:cs="仿宋"/>
          <w:kern w:val="0"/>
          <w:sz w:val="32"/>
          <w:szCs w:val="32"/>
        </w:rPr>
        <w:t>9607</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6474</w:t>
      </w:r>
      <w:r>
        <w:rPr>
          <w:rFonts w:hint="eastAsia" w:ascii="仿宋" w:hAnsi="仿宋" w:eastAsia="仿宋" w:cs="仿宋"/>
          <w:color w:val="000000"/>
          <w:sz w:val="32"/>
          <w:szCs w:val="32"/>
        </w:rPr>
        <w:t>万元，较</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年预算</w:t>
      </w:r>
      <w:r>
        <w:rPr>
          <w:rFonts w:hint="eastAsia" w:ascii="仿宋" w:hAnsi="仿宋" w:eastAsia="仿宋" w:cs="仿宋"/>
          <w:color w:val="000000"/>
          <w:sz w:val="32"/>
          <w:szCs w:val="32"/>
          <w:lang w:eastAsia="zh-CN"/>
        </w:rPr>
        <w:t>减少</w:t>
      </w:r>
      <w:r>
        <w:rPr>
          <w:rFonts w:hint="eastAsia" w:ascii="仿宋" w:hAnsi="仿宋" w:eastAsia="仿宋" w:cs="仿宋"/>
          <w:color w:val="000000"/>
          <w:sz w:val="32"/>
          <w:szCs w:val="32"/>
          <w:lang w:val="en-US" w:eastAsia="zh-CN"/>
        </w:rPr>
        <w:t>4810.74964</w:t>
      </w:r>
      <w:r>
        <w:rPr>
          <w:rFonts w:hint="eastAsia" w:ascii="仿宋" w:hAnsi="仿宋" w:eastAsia="仿宋" w:cs="仿宋"/>
          <w:color w:val="000000"/>
          <w:sz w:val="32"/>
          <w:szCs w:val="32"/>
        </w:rPr>
        <w:t>万元，</w:t>
      </w:r>
      <w:r>
        <w:rPr>
          <w:rFonts w:hint="eastAsia" w:ascii="仿宋" w:hAnsi="仿宋" w:eastAsia="仿宋" w:cs="仿宋"/>
          <w:kern w:val="0"/>
          <w:sz w:val="30"/>
          <w:szCs w:val="30"/>
        </w:rPr>
        <w:t>主要为</w:t>
      </w:r>
      <w:r>
        <w:rPr>
          <w:rFonts w:hint="eastAsia" w:ascii="仿宋" w:hAnsi="仿宋" w:eastAsia="仿宋" w:cs="仿宋"/>
          <w:kern w:val="0"/>
          <w:sz w:val="30"/>
          <w:szCs w:val="30"/>
          <w:lang w:val="en-US" w:eastAsia="zh-CN"/>
        </w:rPr>
        <w:t>2019年机构改革，退役军人类资金预算移交给隆尧县退役军人事务局；救灾资金预算移交给隆尧县应急管理局；医疗救助资金预算移交给隆尧县医保局；民宗资金预算移交给隆尧县统战部</w:t>
      </w:r>
      <w:r>
        <w:rPr>
          <w:rFonts w:hint="eastAsia" w:ascii="仿宋" w:hAnsi="仿宋" w:eastAsia="仿宋" w:cs="仿宋"/>
          <w:kern w:val="0"/>
          <w:sz w:val="30"/>
          <w:szCs w:val="30"/>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机关运行经费共计安排</w:t>
      </w:r>
      <w:r>
        <w:rPr>
          <w:rFonts w:hint="eastAsia" w:ascii="仿宋" w:hAnsi="仿宋" w:eastAsia="仿宋" w:cs="仿宋"/>
          <w:color w:val="000000"/>
          <w:sz w:val="32"/>
          <w:szCs w:val="32"/>
          <w:lang w:val="en-US" w:eastAsia="zh-CN"/>
        </w:rPr>
        <w:t>15.02</w:t>
      </w:r>
      <w:r>
        <w:rPr>
          <w:rFonts w:hint="eastAsia" w:ascii="仿宋" w:hAnsi="仿宋" w:eastAsia="仿宋" w:cs="仿宋"/>
          <w:color w:val="000000"/>
          <w:sz w:val="32"/>
          <w:szCs w:val="32"/>
        </w:rPr>
        <w:t>万元，主要用于日常办公费、办公用房水电费、办公用房物业管理费等日常运行支出。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ind w:firstLine="640" w:firstLineChars="20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年，我局财政拨款“三公”经费预算安排</w:t>
      </w:r>
      <w:r>
        <w:rPr>
          <w:rFonts w:hint="eastAsia" w:ascii="仿宋" w:hAnsi="仿宋" w:eastAsia="仿宋" w:cs="仿宋"/>
          <w:color w:val="000000"/>
          <w:sz w:val="32"/>
          <w:szCs w:val="32"/>
          <w:lang w:val="en-US" w:eastAsia="zh-CN"/>
        </w:rPr>
        <w:t>0.95</w:t>
      </w:r>
      <w:r>
        <w:rPr>
          <w:rFonts w:hint="eastAsia" w:ascii="仿宋" w:hAnsi="仿宋" w:eastAsia="仿宋" w:cs="仿宋"/>
          <w:color w:val="000000"/>
          <w:sz w:val="32"/>
          <w:szCs w:val="32"/>
        </w:rPr>
        <w:t>万元，其中：因公出国（境）费</w:t>
      </w:r>
      <w:r>
        <w:rPr>
          <w:rFonts w:hint="eastAsia" w:ascii="仿宋" w:hAnsi="仿宋" w:eastAsia="仿宋" w:cs="仿宋"/>
          <w:color w:val="000000"/>
          <w:sz w:val="32"/>
          <w:szCs w:val="32"/>
          <w:lang w:val="en-US" w:eastAsia="zh-CN"/>
        </w:rPr>
        <w:t>0元，较上年无变化；公务用车购置及运维费0元，较上年无变化</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公务接待费</w:t>
      </w:r>
      <w:r>
        <w:rPr>
          <w:rFonts w:hint="eastAsia" w:ascii="仿宋" w:hAnsi="仿宋" w:eastAsia="仿宋" w:cs="仿宋"/>
          <w:color w:val="000000"/>
          <w:sz w:val="32"/>
          <w:szCs w:val="32"/>
          <w:lang w:val="en-US" w:eastAsia="zh-CN"/>
        </w:rPr>
        <w:t>0.95</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比</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年减少</w:t>
      </w:r>
      <w:r>
        <w:rPr>
          <w:rFonts w:ascii="仿宋" w:hAnsi="仿宋" w:eastAsia="仿宋" w:cs="仿宋"/>
          <w:color w:val="000000"/>
          <w:sz w:val="32"/>
          <w:szCs w:val="32"/>
        </w:rPr>
        <w:t>0.</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w:t>
      </w:r>
      <w:r>
        <w:rPr>
          <w:rFonts w:ascii="仿宋" w:hAnsi="仿宋" w:eastAsia="仿宋" w:cs="仿宋"/>
          <w:color w:val="000000"/>
          <w:sz w:val="32"/>
          <w:szCs w:val="32"/>
        </w:rPr>
        <w:t>,</w:t>
      </w:r>
      <w:r>
        <w:rPr>
          <w:rFonts w:hint="eastAsia" w:ascii="仿宋" w:hAnsi="仿宋" w:eastAsia="仿宋" w:cs="仿宋"/>
          <w:color w:val="000000"/>
          <w:sz w:val="32"/>
          <w:szCs w:val="32"/>
        </w:rPr>
        <w:t>减少主要原因是厉行节约压缩开支。</w:t>
      </w:r>
      <w:r>
        <w:rPr>
          <w:rFonts w:hint="eastAsia" w:ascii="仿宋" w:hAnsi="仿宋" w:eastAsia="仿宋" w:cs="仿宋"/>
          <w:color w:val="000000"/>
          <w:sz w:val="32"/>
          <w:szCs w:val="32"/>
          <w:lang w:eastAsia="zh-CN"/>
        </w:rPr>
        <w:t>“三公”经费总预算资金</w:t>
      </w:r>
      <w:r>
        <w:rPr>
          <w:rFonts w:hint="eastAsia" w:ascii="仿宋" w:hAnsi="仿宋" w:eastAsia="仿宋" w:cs="仿宋"/>
          <w:color w:val="000000"/>
          <w:sz w:val="32"/>
          <w:szCs w:val="32"/>
        </w:rPr>
        <w:t>比</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年减少</w:t>
      </w:r>
      <w:r>
        <w:rPr>
          <w:rFonts w:ascii="仿宋" w:hAnsi="仿宋" w:eastAsia="仿宋" w:cs="仿宋"/>
          <w:color w:val="000000"/>
          <w:sz w:val="32"/>
          <w:szCs w:val="32"/>
        </w:rPr>
        <w:t>0.</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w:t>
      </w:r>
      <w:r>
        <w:rPr>
          <w:rFonts w:ascii="仿宋" w:hAnsi="仿宋" w:eastAsia="仿宋" w:cs="仿宋"/>
          <w:color w:val="000000"/>
          <w:sz w:val="32"/>
          <w:szCs w:val="32"/>
        </w:rPr>
        <w:t>,</w:t>
      </w:r>
      <w:r>
        <w:rPr>
          <w:rFonts w:hint="eastAsia" w:ascii="仿宋" w:hAnsi="仿宋" w:eastAsia="仿宋" w:cs="仿宋"/>
          <w:color w:val="000000"/>
          <w:sz w:val="32"/>
          <w:szCs w:val="32"/>
        </w:rPr>
        <w:t>减少主要原因是厉行节约压缩开支。</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640" w:firstLineChars="200"/>
        <w:jc w:val="left"/>
        <w:rPr>
          <w:rFonts w:ascii="仿宋" w:hAnsi="仿宋" w:eastAsia="仿宋" w:cs="Times New Roman"/>
          <w:color w:val="000000"/>
          <w:sz w:val="32"/>
          <w:szCs w:val="32"/>
        </w:rPr>
      </w:pPr>
      <w:bookmarkStart w:id="0" w:name="_Toc471398463"/>
      <w:r>
        <w:rPr>
          <w:rFonts w:hint="eastAsia" w:ascii="仿宋" w:hAnsi="仿宋" w:eastAsia="仿宋" w:cs="仿宋"/>
          <w:color w:val="000000"/>
          <w:sz w:val="32"/>
          <w:szCs w:val="32"/>
          <w:highlight w:val="yellow"/>
        </w:rPr>
        <w:t>总体绩效目标：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全面贯彻落实党的十九大以及中央和省、市经济工作会议精神，坚持稳中求进的工作总基调，牢固树立和贯彻落实新发展理念，适应把握引领经济发展的新常态，坚持以提高发展质量和效益为中心，以推进供给侧结构性改革为主线，全力构建基础扎实、财力匹配、注重公平、讲求绩效、机制健全、运行稳健的现代部门财政，进一步保证单位资金合理有效利用，为全面建成小康社会，加快建设“经济强县、美丽隆尧”提供民政部门的有力支撑。</w:t>
      </w:r>
    </w:p>
    <w:p>
      <w:pPr>
        <w:autoSpaceDE w:val="0"/>
        <w:autoSpaceDN w:val="0"/>
        <w:adjustRightInd w:val="0"/>
        <w:ind w:left="198" w:firstLine="640" w:firstLineChars="200"/>
        <w:jc w:val="left"/>
        <w:rPr>
          <w:rFonts w:ascii="仿宋" w:hAnsi="仿宋" w:eastAsia="仿宋" w:cs="Times New Roman"/>
          <w:color w:val="000000"/>
          <w:sz w:val="32"/>
          <w:szCs w:val="32"/>
          <w:highlight w:val="yellow"/>
        </w:rPr>
      </w:pP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highlight w:val="yellow"/>
        </w:rPr>
        <w:t>职责分类绩效目标：</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将紧紧围绕县委，县政府中心工作，坚守职责，服务民生，创新务实为基础，以深化民政改革为动力，提高基本民生保障水平，充分发挥民政在社会建设中的骨干作用，为建设开放、富裕、和谐作出新的贡献主要抓好以下工作：</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一、抓好项目建设，重点抓好三个项目实施</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（一）、烈士陵园一期、二期工程根据相关政策依据支付施工方尾款。</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（二）、殡仪馆火化炉环保改造工程根据相关政策依据支付施工方尾款。</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（三）、做好扶贫项目资金相应策划，确保贫困户得到相应救济。</w:t>
      </w:r>
    </w:p>
    <w:p>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二、抓好重点工作严格按照上级要求，做好精准扶贫工作，为</w:t>
      </w:r>
      <w:r>
        <w:rPr>
          <w:rFonts w:ascii="仿宋" w:hAnsi="仿宋" w:eastAsia="仿宋" w:cs="仿宋"/>
          <w:color w:val="000000"/>
          <w:sz w:val="32"/>
          <w:szCs w:val="32"/>
        </w:rPr>
        <w:t>2020</w:t>
      </w:r>
      <w:r>
        <w:rPr>
          <w:rFonts w:hint="eastAsia" w:ascii="仿宋" w:hAnsi="仿宋" w:eastAsia="仿宋" w:cs="仿宋"/>
          <w:color w:val="000000"/>
          <w:sz w:val="32"/>
          <w:szCs w:val="32"/>
        </w:rPr>
        <w:t>年完成脱贫任务做好保障，完善残疾人两项补贴统计发放，认真落实临时救助、大病医疗救助加强养老服务体系建设，完善社会福利机构管理推进养老机构的发展步伐，提升社会专项事务管理服务工作水平，为民政事业建设健康发展营造良好的发展环境。</w:t>
      </w:r>
    </w:p>
    <w:p>
      <w:pPr>
        <w:autoSpaceDE w:val="0"/>
        <w:autoSpaceDN w:val="0"/>
        <w:adjustRightInd w:val="0"/>
        <w:ind w:left="198" w:firstLine="640" w:firstLineChars="200"/>
        <w:jc w:val="left"/>
        <w:rPr>
          <w:rFonts w:ascii="仿宋_GB2312" w:hAnsi="仿宋_GB2312" w:eastAsia="仿宋_GB2312" w:cs="Times New Roman"/>
          <w:color w:val="000000"/>
          <w:sz w:val="32"/>
          <w:szCs w:val="32"/>
        </w:rPr>
      </w:pPr>
    </w:p>
    <w:p>
      <w:pPr>
        <w:autoSpaceDE w:val="0"/>
        <w:autoSpaceDN w:val="0"/>
        <w:adjustRightInd w:val="0"/>
        <w:jc w:val="left"/>
        <w:rPr>
          <w:rFonts w:ascii="Times New Roman" w:hAnsi="Times New Roman" w:eastAsia="仿宋" w:cs="Times New Roman"/>
          <w:b/>
          <w:bCs/>
          <w:sz w:val="32"/>
          <w:szCs w:val="32"/>
          <w:highlight w:val="yellow"/>
        </w:rPr>
      </w:pPr>
    </w:p>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highlight w:val="yellow"/>
        </w:rPr>
        <w:t>部门职责及工作活动绩效目标指标：</w:t>
      </w:r>
      <w:bookmarkEnd w:id="0"/>
    </w:p>
    <w:p>
      <w:pPr>
        <w:autoSpaceDE w:val="0"/>
        <w:autoSpaceDN w:val="0"/>
        <w:adjustRightInd w:val="0"/>
        <w:ind w:left="198" w:firstLine="643" w:firstLineChars="200"/>
        <w:jc w:val="left"/>
        <w:rPr>
          <w:rFonts w:ascii="Times New Roman" w:hAnsi="Times New Roman" w:eastAsia="仿宋" w:cs="Times New Roman"/>
          <w:b/>
          <w:bCs/>
          <w:sz w:val="32"/>
          <w:szCs w:val="32"/>
        </w:rPr>
      </w:pPr>
    </w:p>
    <w:p>
      <w:pPr>
        <w:jc w:val="center"/>
        <w:outlineLvl w:val="0"/>
        <w:rPr>
          <w:rFonts w:ascii="仿宋" w:hAnsi="仿宋" w:eastAsia="仿宋" w:cs="Times New Roman"/>
          <w:b/>
          <w:bCs/>
          <w:sz w:val="32"/>
          <w:szCs w:val="32"/>
        </w:rPr>
      </w:pPr>
      <w:bookmarkStart w:id="1" w:name="_Toc446518889"/>
      <w:r>
        <w:rPr>
          <w:rFonts w:hint="eastAsia" w:ascii="仿宋" w:hAnsi="仿宋" w:eastAsia="仿宋" w:cs="仿宋"/>
          <w:b/>
          <w:bCs/>
          <w:sz w:val="32"/>
          <w:szCs w:val="32"/>
        </w:rPr>
        <w:t>部门职责</w:t>
      </w:r>
      <w:r>
        <w:rPr>
          <w:rFonts w:ascii="仿宋" w:hAnsi="仿宋" w:eastAsia="仿宋" w:cs="仿宋"/>
          <w:b/>
          <w:bCs/>
          <w:sz w:val="32"/>
          <w:szCs w:val="32"/>
        </w:rPr>
        <w:t>-</w:t>
      </w:r>
      <w:r>
        <w:rPr>
          <w:rFonts w:hint="eastAsia" w:ascii="仿宋" w:hAnsi="仿宋" w:eastAsia="仿宋" w:cs="仿宋"/>
          <w:b/>
          <w:bCs/>
          <w:sz w:val="32"/>
          <w:szCs w:val="32"/>
        </w:rPr>
        <w:t>工作活动绩效目标</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314</w:t>
            </w:r>
            <w:r>
              <w:rPr>
                <w:rFonts w:hint="eastAsia" w:ascii="仿宋" w:hAnsi="仿宋" w:eastAsia="仿宋" w:cs="仿宋"/>
                <w:sz w:val="24"/>
                <w:szCs w:val="24"/>
              </w:rPr>
              <w:t>隆尧县民政局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12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w:t>
            </w:r>
          </w:p>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预算数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2976"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1417"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948" w:type="dxa"/>
            <w:gridSpan w:val="4"/>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 w:hAnsi="仿宋" w:eastAsia="仿宋" w:cs="Times New Roman"/>
                <w:sz w:val="24"/>
                <w:szCs w:val="24"/>
              </w:rPr>
            </w:pPr>
          </w:p>
        </w:tc>
        <w:tc>
          <w:tcPr>
            <w:tcW w:w="12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2976" w:type="dxa"/>
            <w:vMerge w:val="continue"/>
            <w:vAlign w:val="center"/>
          </w:tcPr>
          <w:p>
            <w:pPr>
              <w:spacing w:line="300" w:lineRule="exact"/>
              <w:jc w:val="left"/>
              <w:outlineLvl w:val="0"/>
              <w:rPr>
                <w:rFonts w:ascii="仿宋" w:hAnsi="仿宋" w:eastAsia="仿宋" w:cs="Times New Roman"/>
                <w:sz w:val="24"/>
                <w:szCs w:val="24"/>
              </w:rPr>
            </w:pPr>
          </w:p>
        </w:tc>
        <w:tc>
          <w:tcPr>
            <w:tcW w:w="1417" w:type="dxa"/>
            <w:vMerge w:val="continue"/>
            <w:vAlign w:val="center"/>
          </w:tcPr>
          <w:p>
            <w:pPr>
              <w:spacing w:line="300" w:lineRule="exact"/>
              <w:jc w:val="left"/>
              <w:outlineLvl w:val="0"/>
              <w:rPr>
                <w:rFonts w:ascii="仿宋" w:hAnsi="仿宋" w:eastAsia="仿宋" w:cs="Times New Roman"/>
                <w:sz w:val="24"/>
                <w:szCs w:val="24"/>
              </w:rPr>
            </w:pP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73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社会救助、救灾管理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3949</w:t>
            </w:r>
            <w:r>
              <w:rPr>
                <w:rFonts w:hint="eastAsia" w:ascii="仿宋" w:hAnsi="仿宋" w:eastAsia="仿宋" w:cs="仿宋"/>
                <w:sz w:val="24"/>
                <w:szCs w:val="24"/>
                <w:lang w:val="en-US" w:eastAsia="zh-CN"/>
              </w:rPr>
              <w:t>.</w:t>
            </w:r>
            <w:r>
              <w:rPr>
                <w:rFonts w:hint="eastAsia" w:ascii="仿宋" w:hAnsi="仿宋" w:eastAsia="仿宋" w:cs="仿宋"/>
                <w:sz w:val="24"/>
                <w:szCs w:val="24"/>
              </w:rPr>
              <w:t>492万元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完善城乡社会救助制度，实施分类救助，应保尽保</w:t>
            </w:r>
            <w:r>
              <w:rPr>
                <w:rFonts w:ascii="仿宋" w:hAnsi="仿宋" w:eastAsia="仿宋" w:cs="仿宋"/>
                <w:sz w:val="24"/>
                <w:szCs w:val="24"/>
              </w:rPr>
              <w:t>,</w:t>
            </w:r>
            <w:r>
              <w:rPr>
                <w:rFonts w:hint="eastAsia" w:ascii="仿宋" w:hAnsi="仿宋" w:eastAsia="仿宋" w:cs="仿宋"/>
                <w:sz w:val="24"/>
                <w:szCs w:val="24"/>
              </w:rPr>
              <w:t>动态管理。完善全县自然灾害救助应急体系。实施分类救助，保障受灾群众基本生活。</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保障困难群众基本生活。</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超额完成目标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基本完成目标</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社会福利管理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835</w:t>
            </w:r>
            <w:r>
              <w:rPr>
                <w:rFonts w:hint="eastAsia" w:ascii="仿宋" w:hAnsi="仿宋" w:eastAsia="仿宋" w:cs="仿宋"/>
                <w:sz w:val="24"/>
                <w:szCs w:val="24"/>
                <w:lang w:val="en-US" w:eastAsia="zh-CN"/>
              </w:rPr>
              <w:t>.</w:t>
            </w:r>
            <w:r>
              <w:rPr>
                <w:rFonts w:hint="eastAsia" w:ascii="仿宋" w:hAnsi="仿宋" w:eastAsia="仿宋" w:cs="仿宋"/>
                <w:sz w:val="24"/>
                <w:szCs w:val="24"/>
              </w:rPr>
              <w:t>1989万元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对残疾人、孤儿、流浪乞讨人员、未成年人等特殊群体权益保护，发展慈善事业，推进殡葬改革，发行福利彩票，促进老龄事业发展。</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对残疾人、孤儿、流浪乞讨人员、未成年人等特殊群体权益保护，落实福彩资金使用。</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双拥优抚安置管理</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33</w:t>
            </w:r>
            <w:r>
              <w:rPr>
                <w:rFonts w:hint="eastAsia" w:ascii="仿宋" w:hAnsi="仿宋" w:eastAsia="仿宋" w:cs="仿宋"/>
                <w:sz w:val="24"/>
                <w:szCs w:val="24"/>
                <w:lang w:val="en-US" w:eastAsia="zh-CN"/>
              </w:rPr>
              <w:t>.</w:t>
            </w:r>
            <w:r>
              <w:rPr>
                <w:rFonts w:hint="eastAsia" w:ascii="仿宋" w:hAnsi="仿宋" w:eastAsia="仿宋" w:cs="仿宋"/>
                <w:sz w:val="24"/>
                <w:szCs w:val="24"/>
              </w:rPr>
              <w:t>4263万元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指导全县拥军优属活动。组织对优抚对象的优待、抚恤的政策落实，负责全县转业士官、退役士兵及军队离退休干部、退休士官和军队无军籍退休退职职工接收工作。</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优抚对象的优待、抚恤的政策落实，负责全县转业士官、退役士兵及军队离退休干部、退休士官和军队无军籍退休退职职工待遇完善。</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民政政务管理</w:t>
            </w:r>
          </w:p>
        </w:tc>
        <w:tc>
          <w:tcPr>
            <w:tcW w:w="1276" w:type="dxa"/>
            <w:vAlign w:val="center"/>
          </w:tcPr>
          <w:p>
            <w:pPr>
              <w:spacing w:line="300" w:lineRule="exact"/>
              <w:jc w:val="left"/>
              <w:rPr>
                <w:rFonts w:ascii="仿宋" w:hAnsi="仿宋" w:eastAsia="仿宋" w:cs="Times New Roman"/>
                <w:color w:val="000000"/>
                <w:sz w:val="24"/>
                <w:szCs w:val="24"/>
              </w:rPr>
            </w:pPr>
            <w:r>
              <w:rPr>
                <w:rFonts w:hint="eastAsia" w:ascii="仿宋" w:hAnsi="仿宋" w:eastAsia="仿宋" w:cs="仿宋"/>
                <w:color w:val="000000"/>
                <w:sz w:val="24"/>
                <w:szCs w:val="24"/>
              </w:rPr>
              <w:t>326</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95</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建立和维护县民政系统政务公开平台，推进民政政府信息公开、政务公开，完成在县委、县政府系统信息考核任务；搞好群众来信来访工作，杜绝群体上访事件；民主行风评议保持全县领先地位。</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扶贫开发</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3358</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负责全县扶贫开发项目，及时发放扶贫资金</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到</w:t>
            </w:r>
            <w:r>
              <w:rPr>
                <w:rFonts w:ascii="仿宋" w:hAnsi="仿宋" w:eastAsia="仿宋" w:cs="仿宋"/>
                <w:sz w:val="24"/>
                <w:szCs w:val="24"/>
              </w:rPr>
              <w:t>2020</w:t>
            </w:r>
            <w:r>
              <w:rPr>
                <w:rFonts w:hint="eastAsia" w:ascii="仿宋" w:hAnsi="仿宋" w:eastAsia="仿宋" w:cs="仿宋"/>
                <w:sz w:val="24"/>
                <w:szCs w:val="24"/>
              </w:rPr>
              <w:t>年完成脱贫任务</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贫困户利益得到保护，认真落实扶贫资金使用政策。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残疾人事业</w:t>
            </w:r>
          </w:p>
        </w:tc>
        <w:tc>
          <w:tcPr>
            <w:tcW w:w="12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776</w:t>
            </w:r>
            <w:r>
              <w:rPr>
                <w:rFonts w:hint="eastAsia" w:ascii="仿宋" w:hAnsi="仿宋" w:eastAsia="仿宋" w:cs="仿宋"/>
                <w:sz w:val="24"/>
                <w:szCs w:val="24"/>
              </w:rPr>
              <w:t>万元</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负责全县残疾人困难补贴、护理补贴资金发放</w:t>
            </w:r>
          </w:p>
        </w:tc>
        <w:tc>
          <w:tcPr>
            <w:tcW w:w="2976"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141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bl>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spacing w:line="300" w:lineRule="exact"/>
        <w:ind w:firstLine="645"/>
        <w:jc w:val="left"/>
        <w:outlineLvl w:val="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年，我局安排政府采购预算</w:t>
      </w:r>
      <w:r>
        <w:rPr>
          <w:rFonts w:hint="eastAsia" w:ascii="仿宋" w:hAnsi="仿宋" w:eastAsia="仿宋" w:cs="仿宋"/>
          <w:color w:val="000000"/>
          <w:sz w:val="32"/>
          <w:szCs w:val="32"/>
          <w:lang w:val="en-US" w:eastAsia="zh-CN"/>
        </w:rPr>
        <w:t>574.8602</w:t>
      </w:r>
      <w:r>
        <w:rPr>
          <w:rFonts w:hint="eastAsia" w:ascii="仿宋" w:hAnsi="仿宋" w:eastAsia="仿宋" w:cs="仿宋"/>
          <w:color w:val="000000"/>
          <w:sz w:val="32"/>
          <w:szCs w:val="32"/>
        </w:rPr>
        <w:t>万元。具体内容见下表。</w:t>
      </w:r>
    </w:p>
    <w:tbl>
      <w:tblPr>
        <w:tblStyle w:val="7"/>
        <w:tblW w:w="13841" w:type="dxa"/>
        <w:tblInd w:w="-106" w:type="dxa"/>
        <w:tblLayout w:type="autofit"/>
        <w:tblCellMar>
          <w:top w:w="0" w:type="dxa"/>
          <w:left w:w="108" w:type="dxa"/>
          <w:bottom w:w="0" w:type="dxa"/>
          <w:right w:w="108" w:type="dxa"/>
        </w:tblCellMar>
      </w:tblPr>
      <w:tblGrid>
        <w:gridCol w:w="1249"/>
        <w:gridCol w:w="6431"/>
        <w:gridCol w:w="1436"/>
        <w:gridCol w:w="1470"/>
        <w:gridCol w:w="1365"/>
        <w:gridCol w:w="1890"/>
      </w:tblGrid>
      <w:tr>
        <w:tblPrEx>
          <w:tblCellMar>
            <w:top w:w="0" w:type="dxa"/>
            <w:left w:w="108" w:type="dxa"/>
            <w:bottom w:w="0" w:type="dxa"/>
            <w:right w:w="108" w:type="dxa"/>
          </w:tblCellMar>
        </w:tblPrEx>
        <w:trPr>
          <w:trHeight w:val="405" w:hRule="atLeast"/>
        </w:trPr>
        <w:tc>
          <w:tcPr>
            <w:tcW w:w="13841" w:type="dxa"/>
            <w:gridSpan w:val="6"/>
            <w:tcBorders>
              <w:top w:val="nil"/>
              <w:left w:val="nil"/>
              <w:bottom w:val="nil"/>
              <w:right w:val="nil"/>
            </w:tcBorders>
            <w:noWrap/>
            <w:vAlign w:val="center"/>
          </w:tcPr>
          <w:p>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部门政府采购预算</w:t>
            </w:r>
          </w:p>
        </w:tc>
      </w:tr>
      <w:tr>
        <w:tblPrEx>
          <w:tblCellMar>
            <w:top w:w="0" w:type="dxa"/>
            <w:left w:w="108" w:type="dxa"/>
            <w:bottom w:w="0" w:type="dxa"/>
            <w:right w:w="108" w:type="dxa"/>
          </w:tblCellMar>
        </w:tblPrEx>
        <w:trPr>
          <w:trHeight w:val="405" w:hRule="atLeast"/>
        </w:trPr>
        <w:tc>
          <w:tcPr>
            <w:tcW w:w="1249" w:type="dxa"/>
            <w:tcBorders>
              <w:top w:val="nil"/>
              <w:left w:val="nil"/>
              <w:bottom w:val="nil"/>
              <w:right w:val="nil"/>
            </w:tcBorders>
            <w:noWrap/>
            <w:vAlign w:val="center"/>
          </w:tcPr>
          <w:p>
            <w:pPr>
              <w:widowControl/>
              <w:jc w:val="left"/>
              <w:rPr>
                <w:rFonts w:ascii="仿宋" w:hAnsi="仿宋" w:eastAsia="仿宋" w:cs="Times New Roman"/>
                <w:color w:val="FF0000"/>
                <w:kern w:val="0"/>
                <w:sz w:val="22"/>
                <w:szCs w:val="22"/>
              </w:rPr>
            </w:pPr>
          </w:p>
        </w:tc>
        <w:tc>
          <w:tcPr>
            <w:tcW w:w="6431" w:type="dxa"/>
            <w:tcBorders>
              <w:top w:val="nil"/>
              <w:left w:val="nil"/>
              <w:bottom w:val="nil"/>
              <w:right w:val="nil"/>
            </w:tcBorders>
            <w:noWrap/>
            <w:vAlign w:val="center"/>
          </w:tcPr>
          <w:p>
            <w:pPr>
              <w:widowControl/>
              <w:jc w:val="left"/>
              <w:rPr>
                <w:rFonts w:ascii="仿宋" w:hAnsi="仿宋" w:eastAsia="仿宋" w:cs="Times New Roman"/>
                <w:kern w:val="0"/>
                <w:sz w:val="20"/>
                <w:szCs w:val="20"/>
              </w:rPr>
            </w:pPr>
          </w:p>
        </w:tc>
        <w:tc>
          <w:tcPr>
            <w:tcW w:w="1436"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470"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365"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c>
          <w:tcPr>
            <w:tcW w:w="1890" w:type="dxa"/>
            <w:tcBorders>
              <w:top w:val="nil"/>
              <w:left w:val="nil"/>
              <w:bottom w:val="nil"/>
              <w:right w:val="nil"/>
            </w:tcBorders>
            <w:noWrap/>
            <w:vAlign w:val="center"/>
          </w:tcPr>
          <w:p>
            <w:pPr>
              <w:widowControl/>
              <w:jc w:val="left"/>
              <w:rPr>
                <w:rFonts w:ascii="仿宋" w:hAnsi="仿宋" w:eastAsia="仿宋" w:cs="Times New Roman"/>
                <w:kern w:val="0"/>
                <w:sz w:val="32"/>
                <w:szCs w:val="32"/>
              </w:rPr>
            </w:pPr>
          </w:p>
        </w:tc>
      </w:tr>
      <w:tr>
        <w:tblPrEx>
          <w:tblCellMar>
            <w:top w:w="0" w:type="dxa"/>
            <w:left w:w="108" w:type="dxa"/>
            <w:bottom w:w="0" w:type="dxa"/>
            <w:right w:w="108" w:type="dxa"/>
          </w:tblCellMar>
        </w:tblPrEx>
        <w:trPr>
          <w:trHeight w:val="300" w:hRule="atLeast"/>
        </w:trPr>
        <w:tc>
          <w:tcPr>
            <w:tcW w:w="7680" w:type="dxa"/>
            <w:gridSpan w:val="2"/>
            <w:tcBorders>
              <w:top w:val="nil"/>
              <w:left w:val="nil"/>
              <w:bottom w:val="nil"/>
              <w:right w:val="nil"/>
            </w:tcBorders>
            <w:noWrap/>
            <w:vAlign w:val="bottom"/>
          </w:tcPr>
          <w:p>
            <w:pPr>
              <w:widowControl/>
              <w:jc w:val="left"/>
              <w:rPr>
                <w:rFonts w:ascii="仿宋" w:hAnsi="仿宋" w:eastAsia="仿宋" w:cs="Times New Roman"/>
                <w:kern w:val="0"/>
                <w:sz w:val="24"/>
                <w:szCs w:val="24"/>
              </w:rPr>
            </w:pPr>
            <w:r>
              <w:rPr>
                <w:rFonts w:hint="eastAsia" w:ascii="仿宋" w:hAnsi="仿宋" w:eastAsia="仿宋" w:cs="仿宋"/>
                <w:kern w:val="0"/>
                <w:sz w:val="24"/>
                <w:szCs w:val="24"/>
              </w:rPr>
              <w:t>部门编码及名称：</w:t>
            </w:r>
            <w:r>
              <w:rPr>
                <w:rFonts w:ascii="仿宋" w:hAnsi="仿宋" w:eastAsia="仿宋" w:cs="仿宋"/>
                <w:kern w:val="0"/>
                <w:sz w:val="24"/>
                <w:szCs w:val="24"/>
              </w:rPr>
              <w:t>314</w:t>
            </w:r>
            <w:r>
              <w:rPr>
                <w:rFonts w:hint="eastAsia" w:ascii="仿宋" w:hAnsi="仿宋" w:eastAsia="仿宋" w:cs="仿宋"/>
                <w:kern w:val="0"/>
                <w:sz w:val="24"/>
                <w:szCs w:val="24"/>
              </w:rPr>
              <w:t>隆尧县民政局</w:t>
            </w:r>
          </w:p>
        </w:tc>
        <w:tc>
          <w:tcPr>
            <w:tcW w:w="1436" w:type="dxa"/>
            <w:tcBorders>
              <w:top w:val="nil"/>
              <w:left w:val="nil"/>
              <w:bottom w:val="nil"/>
              <w:right w:val="nil"/>
            </w:tcBorders>
            <w:noWrap/>
            <w:vAlign w:val="bottom"/>
          </w:tcPr>
          <w:p>
            <w:pPr>
              <w:widowControl/>
              <w:jc w:val="left"/>
              <w:rPr>
                <w:rFonts w:ascii="仿宋" w:hAnsi="仿宋" w:eastAsia="仿宋" w:cs="Times New Roman"/>
                <w:kern w:val="0"/>
                <w:sz w:val="24"/>
                <w:szCs w:val="24"/>
              </w:rPr>
            </w:pPr>
          </w:p>
        </w:tc>
        <w:tc>
          <w:tcPr>
            <w:tcW w:w="1470" w:type="dxa"/>
            <w:tcBorders>
              <w:top w:val="nil"/>
              <w:left w:val="nil"/>
              <w:bottom w:val="nil"/>
              <w:right w:val="nil"/>
            </w:tcBorders>
            <w:noWrap/>
            <w:vAlign w:val="bottom"/>
          </w:tcPr>
          <w:p>
            <w:pPr>
              <w:widowControl/>
              <w:jc w:val="left"/>
              <w:rPr>
                <w:rFonts w:ascii="仿宋" w:hAnsi="仿宋" w:eastAsia="仿宋" w:cs="Times New Roman"/>
                <w:kern w:val="0"/>
                <w:sz w:val="24"/>
                <w:szCs w:val="24"/>
              </w:rPr>
            </w:pPr>
          </w:p>
        </w:tc>
        <w:tc>
          <w:tcPr>
            <w:tcW w:w="3255" w:type="dxa"/>
            <w:gridSpan w:val="2"/>
            <w:tcBorders>
              <w:top w:val="nil"/>
              <w:left w:val="nil"/>
              <w:bottom w:val="nil"/>
              <w:right w:val="nil"/>
            </w:tcBorders>
            <w:noWrap/>
            <w:vAlign w:val="bottom"/>
          </w:tcPr>
          <w:p>
            <w:pPr>
              <w:widowControl/>
              <w:jc w:val="right"/>
              <w:rPr>
                <w:rFonts w:ascii="仿宋" w:hAnsi="仿宋" w:eastAsia="仿宋" w:cs="Times New Roman"/>
                <w:kern w:val="0"/>
                <w:sz w:val="24"/>
                <w:szCs w:val="24"/>
              </w:rPr>
            </w:pPr>
            <w:r>
              <w:rPr>
                <w:rFonts w:hint="eastAsia" w:ascii="仿宋" w:hAnsi="仿宋" w:eastAsia="仿宋" w:cs="仿宋"/>
                <w:kern w:val="0"/>
                <w:sz w:val="24"/>
                <w:szCs w:val="24"/>
              </w:rPr>
              <w:t>单位：万元</w:t>
            </w:r>
          </w:p>
        </w:tc>
      </w:tr>
      <w:tr>
        <w:tblPrEx>
          <w:tblCellMar>
            <w:top w:w="0" w:type="dxa"/>
            <w:left w:w="108" w:type="dxa"/>
            <w:bottom w:w="0" w:type="dxa"/>
            <w:right w:w="108" w:type="dxa"/>
          </w:tblCellMar>
        </w:tblPrEx>
        <w:trPr>
          <w:trHeight w:val="285" w:hRule="atLeast"/>
        </w:trPr>
        <w:tc>
          <w:tcPr>
            <w:tcW w:w="1249"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采购项目</w:t>
            </w:r>
          </w:p>
        </w:tc>
        <w:tc>
          <w:tcPr>
            <w:tcW w:w="6431"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项目名称</w:t>
            </w:r>
          </w:p>
        </w:tc>
        <w:tc>
          <w:tcPr>
            <w:tcW w:w="143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小</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4725" w:type="dxa"/>
            <w:gridSpan w:val="3"/>
            <w:tcBorders>
              <w:top w:val="single" w:color="auto" w:sz="4" w:space="0"/>
              <w:left w:val="nil"/>
              <w:bottom w:val="single" w:color="auto" w:sz="4" w:space="0"/>
              <w:right w:val="single" w:color="000000"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经费来源</w:t>
            </w:r>
          </w:p>
        </w:tc>
      </w:tr>
      <w:tr>
        <w:tblPrEx>
          <w:tblCellMar>
            <w:top w:w="0" w:type="dxa"/>
            <w:left w:w="108" w:type="dxa"/>
            <w:bottom w:w="0" w:type="dxa"/>
            <w:right w:w="108" w:type="dxa"/>
          </w:tblCellMar>
        </w:tblPrEx>
        <w:trPr>
          <w:trHeight w:val="285" w:hRule="atLeast"/>
        </w:trPr>
        <w:tc>
          <w:tcPr>
            <w:tcW w:w="124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64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3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Times New Roman"/>
                <w:b/>
                <w:bCs/>
                <w:kern w:val="0"/>
                <w:sz w:val="24"/>
                <w:szCs w:val="24"/>
              </w:rPr>
            </w:pPr>
          </w:p>
        </w:tc>
        <w:tc>
          <w:tcPr>
            <w:tcW w:w="147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日常公用</w:t>
            </w:r>
          </w:p>
        </w:tc>
        <w:tc>
          <w:tcPr>
            <w:tcW w:w="1365"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专项公用</w:t>
            </w:r>
          </w:p>
        </w:tc>
        <w:tc>
          <w:tcPr>
            <w:tcW w:w="1890" w:type="dxa"/>
            <w:tcBorders>
              <w:top w:val="nil"/>
              <w:left w:val="nil"/>
              <w:bottom w:val="single" w:color="auto" w:sz="4" w:space="0"/>
              <w:right w:val="single" w:color="auto" w:sz="4" w:space="0"/>
            </w:tcBorders>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专项项目</w:t>
            </w:r>
          </w:p>
        </w:tc>
      </w:tr>
      <w:tr>
        <w:tblPrEx>
          <w:tblCellMar>
            <w:top w:w="0" w:type="dxa"/>
            <w:left w:w="108" w:type="dxa"/>
            <w:bottom w:w="0" w:type="dxa"/>
            <w:right w:w="108" w:type="dxa"/>
          </w:tblCellMar>
        </w:tblPrEx>
        <w:trPr>
          <w:trHeight w:val="420" w:hRule="atLeast"/>
        </w:trPr>
        <w:tc>
          <w:tcPr>
            <w:tcW w:w="1249" w:type="dxa"/>
            <w:vMerge w:val="restart"/>
            <w:tcBorders>
              <w:top w:val="single" w:color="auto" w:sz="4" w:space="0"/>
              <w:left w:val="single" w:color="auto" w:sz="4" w:space="0"/>
              <w:right w:val="single" w:color="auto" w:sz="4" w:space="0"/>
            </w:tcBorders>
            <w:noWrap/>
            <w:vAlign w:val="center"/>
          </w:tcPr>
          <w:p>
            <w:pPr>
              <w:widowControl/>
              <w:jc w:val="center"/>
              <w:rPr>
                <w:rFonts w:ascii="仿宋" w:hAnsi="仿宋" w:eastAsia="仿宋" w:cs="Times New Roman"/>
                <w:kern w:val="0"/>
                <w:sz w:val="24"/>
                <w:szCs w:val="24"/>
              </w:rPr>
            </w:pPr>
            <w:r>
              <w:rPr>
                <w:rFonts w:hint="eastAsia" w:ascii="仿宋" w:hAnsi="仿宋" w:eastAsia="仿宋" w:cs="仿宋"/>
                <w:kern w:val="0"/>
                <w:sz w:val="24"/>
                <w:szCs w:val="24"/>
              </w:rPr>
              <w:t>工</w:t>
            </w:r>
            <w:r>
              <w:rPr>
                <w:rFonts w:ascii="仿宋" w:hAnsi="仿宋" w:eastAsia="仿宋" w:cs="仿宋"/>
                <w:kern w:val="0"/>
                <w:sz w:val="24"/>
                <w:szCs w:val="24"/>
              </w:rPr>
              <w:t xml:space="preserve"> </w:t>
            </w:r>
            <w:r>
              <w:rPr>
                <w:rFonts w:hint="eastAsia" w:ascii="仿宋" w:hAnsi="仿宋" w:eastAsia="仿宋" w:cs="仿宋"/>
                <w:kern w:val="0"/>
                <w:sz w:val="24"/>
                <w:szCs w:val="24"/>
              </w:rPr>
              <w:t>程</w:t>
            </w:r>
          </w:p>
        </w:tc>
        <w:tc>
          <w:tcPr>
            <w:tcW w:w="6431" w:type="dxa"/>
            <w:tcBorders>
              <w:top w:val="single" w:color="auto" w:sz="4" w:space="0"/>
              <w:left w:val="nil"/>
              <w:bottom w:val="single" w:color="auto" w:sz="4" w:space="0"/>
              <w:right w:val="single" w:color="auto" w:sz="4" w:space="0"/>
            </w:tcBorders>
            <w:noWrap/>
            <w:vAlign w:val="center"/>
          </w:tcPr>
          <w:p>
            <w:pPr>
              <w:widowControl/>
              <w:rPr>
                <w:rFonts w:ascii="仿宋" w:hAnsi="仿宋" w:eastAsia="仿宋" w:cs="仿宋"/>
                <w:kern w:val="0"/>
                <w:sz w:val="18"/>
                <w:szCs w:val="18"/>
              </w:rPr>
            </w:pPr>
            <w:r>
              <w:rPr>
                <w:rFonts w:hint="eastAsia" w:ascii="仿宋" w:hAnsi="仿宋" w:eastAsia="仿宋" w:cs="仿宋"/>
                <w:kern w:val="0"/>
                <w:sz w:val="18"/>
                <w:szCs w:val="18"/>
              </w:rPr>
              <w:t>冀财社[2019]111号/福彩公益金/中央/儿童福利服务体系建设项目</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3</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r>
              <w:rPr>
                <w:rFonts w:hint="eastAsia" w:ascii="仿宋" w:hAnsi="仿宋" w:eastAsia="仿宋" w:cs="仿宋"/>
                <w:kern w:val="0"/>
                <w:sz w:val="18"/>
                <w:szCs w:val="18"/>
              </w:rPr>
              <w:t>隆尧县民政局养老院消防工程</w:t>
            </w: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30</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4753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30</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4753</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r>
              <w:rPr>
                <w:rFonts w:hint="eastAsia" w:ascii="仿宋" w:hAnsi="仿宋" w:eastAsia="仿宋" w:cs="仿宋"/>
                <w:kern w:val="0"/>
                <w:sz w:val="18"/>
                <w:szCs w:val="18"/>
              </w:rPr>
              <w:t>隆尧县第二中心敬老院改造提升项目</w:t>
            </w: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113.7611</w:t>
            </w:r>
            <w:r>
              <w:rPr>
                <w:rFonts w:ascii="仿宋" w:hAnsi="仿宋" w:eastAsia="仿宋" w:cs="仿宋"/>
                <w:b/>
                <w:bCs/>
                <w:kern w:val="0"/>
                <w:sz w:val="22"/>
                <w:szCs w:val="22"/>
              </w:rPr>
              <w:t xml:space="preserve"> </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113.7611</w:t>
            </w:r>
            <w:r>
              <w:rPr>
                <w:rFonts w:ascii="仿宋" w:hAnsi="仿宋" w:eastAsia="仿宋" w:cs="仿宋"/>
                <w:b/>
                <w:bCs/>
                <w:kern w:val="0"/>
                <w:sz w:val="22"/>
                <w:szCs w:val="22"/>
              </w:rPr>
              <w:t xml:space="preserve"> </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r>
              <w:rPr>
                <w:rFonts w:hint="eastAsia" w:ascii="仿宋" w:hAnsi="仿宋" w:eastAsia="仿宋" w:cs="仿宋"/>
                <w:kern w:val="0"/>
                <w:sz w:val="18"/>
                <w:szCs w:val="18"/>
              </w:rPr>
              <w:t>冀财社[2019]121号/福彩公益金/农村公益性公墓建设</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r>
              <w:rPr>
                <w:rFonts w:hint="eastAsia" w:ascii="仿宋" w:hAnsi="仿宋" w:eastAsia="仿宋" w:cs="仿宋"/>
                <w:kern w:val="0"/>
                <w:sz w:val="18"/>
                <w:szCs w:val="18"/>
              </w:rPr>
              <w:t>隆尧县殡仪馆新上火化炉及尾气改造工程</w:t>
            </w: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44</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7375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44</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7375</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隆尧县烈士陵园二期工程</w:t>
            </w: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仿宋"/>
                <w:kern w:val="0"/>
                <w:sz w:val="18"/>
                <w:szCs w:val="18"/>
              </w:rPr>
            </w:pPr>
            <w:r>
              <w:rPr>
                <w:rFonts w:hint="eastAsia" w:ascii="仿宋" w:hAnsi="仿宋" w:eastAsia="仿宋" w:cs="仿宋"/>
                <w:kern w:val="0"/>
                <w:sz w:val="18"/>
                <w:szCs w:val="18"/>
              </w:rPr>
              <w:t>冀财社[2019]136号/社区建设补助资金/省级/千户营乡千户营村社区建设</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仿宋"/>
                <w:b/>
                <w:bCs/>
                <w:kern w:val="0"/>
                <w:sz w:val="22"/>
                <w:szCs w:val="22"/>
              </w:rPr>
            </w:pP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仿宋"/>
                <w:b/>
                <w:bCs/>
                <w:kern w:val="0"/>
                <w:sz w:val="22"/>
                <w:szCs w:val="22"/>
              </w:rPr>
            </w:pP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仿宋"/>
                <w:kern w:val="0"/>
                <w:sz w:val="18"/>
                <w:szCs w:val="18"/>
              </w:rPr>
            </w:pPr>
            <w:r>
              <w:rPr>
                <w:rFonts w:hint="eastAsia" w:ascii="仿宋" w:hAnsi="仿宋" w:eastAsia="仿宋" w:cs="仿宋"/>
                <w:kern w:val="0"/>
                <w:sz w:val="18"/>
                <w:szCs w:val="18"/>
              </w:rPr>
              <w:t>冀财社[2019]136号/社区建设补助资金/省级/东良镇陈庄村社区建设</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仿宋"/>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仿宋"/>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18"/>
                <w:szCs w:val="18"/>
              </w:rPr>
            </w:pP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304.4002</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304.4002</w:t>
            </w:r>
          </w:p>
        </w:tc>
      </w:tr>
      <w:tr>
        <w:tblPrEx>
          <w:tblCellMar>
            <w:top w:w="0" w:type="dxa"/>
            <w:left w:w="108" w:type="dxa"/>
            <w:bottom w:w="0" w:type="dxa"/>
            <w:right w:w="108" w:type="dxa"/>
          </w:tblCellMar>
        </w:tblPrEx>
        <w:trPr>
          <w:trHeight w:val="420" w:hRule="atLeast"/>
        </w:trPr>
        <w:tc>
          <w:tcPr>
            <w:tcW w:w="1249" w:type="dxa"/>
            <w:vMerge w:val="restart"/>
            <w:tcBorders>
              <w:top w:val="nil"/>
              <w:left w:val="single" w:color="auto" w:sz="4" w:space="0"/>
              <w:right w:val="single" w:color="auto" w:sz="4" w:space="0"/>
            </w:tcBorders>
            <w:noWrap/>
            <w:vAlign w:val="center"/>
          </w:tcPr>
          <w:p>
            <w:pPr>
              <w:jc w:val="center"/>
              <w:rPr>
                <w:rFonts w:ascii="仿宋" w:hAnsi="仿宋" w:eastAsia="仿宋" w:cs="Times New Roman"/>
                <w:kern w:val="0"/>
                <w:sz w:val="24"/>
                <w:szCs w:val="24"/>
              </w:rPr>
            </w:pPr>
            <w:r>
              <w:rPr>
                <w:rFonts w:hint="eastAsia" w:ascii="仿宋" w:hAnsi="仿宋" w:eastAsia="仿宋" w:cs="仿宋"/>
                <w:kern w:val="0"/>
                <w:sz w:val="24"/>
                <w:szCs w:val="24"/>
              </w:rPr>
              <w:t>货</w:t>
            </w:r>
            <w:r>
              <w:rPr>
                <w:rFonts w:ascii="仿宋" w:hAnsi="仿宋" w:eastAsia="仿宋" w:cs="仿宋"/>
                <w:kern w:val="0"/>
                <w:sz w:val="24"/>
                <w:szCs w:val="24"/>
              </w:rPr>
              <w:t xml:space="preserve"> </w:t>
            </w:r>
            <w:r>
              <w:rPr>
                <w:rFonts w:hint="eastAsia" w:ascii="仿宋" w:hAnsi="仿宋" w:eastAsia="仿宋" w:cs="仿宋"/>
                <w:kern w:val="0"/>
                <w:sz w:val="24"/>
                <w:szCs w:val="24"/>
              </w:rPr>
              <w:t>物</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第一中心敬老院经费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0.5</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宋体" w:hAnsi="宋体" w:eastAsia="宋体" w:cs="宋体"/>
                <w:i w:val="0"/>
                <w:color w:val="000000"/>
                <w:kern w:val="2"/>
                <w:sz w:val="18"/>
                <w:szCs w:val="18"/>
                <w:u w:val="none"/>
                <w:lang w:val="en-US" w:eastAsia="zh-CN" w:bidi="ar-SA"/>
              </w:rPr>
            </w:pPr>
            <w:r>
              <w:rPr>
                <w:rFonts w:hint="eastAsia" w:ascii="仿宋" w:hAnsi="仿宋" w:eastAsia="仿宋" w:cs="仿宋"/>
                <w:i w:val="0"/>
                <w:color w:val="000000"/>
                <w:kern w:val="2"/>
                <w:sz w:val="18"/>
                <w:szCs w:val="18"/>
                <w:u w:val="none"/>
                <w:lang w:val="en-US" w:eastAsia="zh-CN" w:bidi="ar-SA"/>
              </w:rPr>
              <w:t>局机关经费</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低收入家庭核查经费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3.25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3.25</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20"/>
                <w:szCs w:val="20"/>
              </w:rPr>
              <w:t>扶贫考核等经费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4.2</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4.2</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冀财社[2019]111号/福彩公益金/中央/儿童福利服务体系建设项目</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w:t>
            </w:r>
          </w:p>
        </w:tc>
        <w:tc>
          <w:tcPr>
            <w:tcW w:w="147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仿宋"/>
                <w:b/>
                <w:bCs/>
                <w:kern w:val="0"/>
                <w:sz w:val="22"/>
                <w:szCs w:val="22"/>
              </w:rPr>
            </w:pP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hint="eastAsia" w:ascii="仿宋" w:hAnsi="仿宋" w:eastAsia="仿宋" w:cs="Times New Roman"/>
                <w:kern w:val="0"/>
                <w:sz w:val="18"/>
                <w:szCs w:val="18"/>
                <w:lang w:eastAsia="zh-CN"/>
              </w:rPr>
            </w:pPr>
            <w:r>
              <w:rPr>
                <w:rFonts w:hint="eastAsia" w:ascii="仿宋" w:hAnsi="仿宋" w:eastAsia="仿宋" w:cs="仿宋"/>
                <w:kern w:val="0"/>
                <w:sz w:val="18"/>
                <w:szCs w:val="18"/>
                <w:lang w:eastAsia="zh-CN"/>
              </w:rPr>
              <w:t>日常公用（办公费）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1.26</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1.26</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13.21</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1.26</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9.95</w:t>
            </w:r>
          </w:p>
        </w:tc>
        <w:tc>
          <w:tcPr>
            <w:tcW w:w="1890"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r>
      <w:tr>
        <w:tblPrEx>
          <w:tblCellMar>
            <w:top w:w="0" w:type="dxa"/>
            <w:left w:w="108" w:type="dxa"/>
            <w:bottom w:w="0" w:type="dxa"/>
            <w:right w:w="108" w:type="dxa"/>
          </w:tblCellMar>
        </w:tblPrEx>
        <w:trPr>
          <w:trHeight w:val="420" w:hRule="atLeast"/>
        </w:trPr>
        <w:tc>
          <w:tcPr>
            <w:tcW w:w="1249" w:type="dxa"/>
            <w:vMerge w:val="restart"/>
            <w:tcBorders>
              <w:top w:val="nil"/>
              <w:left w:val="single" w:color="auto" w:sz="4" w:space="0"/>
              <w:right w:val="single" w:color="auto" w:sz="4" w:space="0"/>
            </w:tcBorders>
            <w:noWrap/>
            <w:vAlign w:val="center"/>
          </w:tcPr>
          <w:p>
            <w:pPr>
              <w:jc w:val="center"/>
              <w:rPr>
                <w:rFonts w:ascii="仿宋" w:hAnsi="仿宋" w:eastAsia="仿宋" w:cs="Times New Roman"/>
                <w:kern w:val="0"/>
                <w:sz w:val="24"/>
                <w:szCs w:val="24"/>
              </w:rPr>
            </w:pPr>
            <w:r>
              <w:rPr>
                <w:rFonts w:hint="eastAsia" w:ascii="仿宋" w:hAnsi="仿宋" w:eastAsia="仿宋" w:cs="仿宋"/>
                <w:kern w:val="0"/>
                <w:sz w:val="24"/>
                <w:szCs w:val="24"/>
              </w:rPr>
              <w:t>服</w:t>
            </w:r>
            <w:r>
              <w:rPr>
                <w:rFonts w:ascii="仿宋" w:hAnsi="仿宋" w:eastAsia="仿宋" w:cs="仿宋"/>
                <w:kern w:val="0"/>
                <w:sz w:val="24"/>
                <w:szCs w:val="24"/>
              </w:rPr>
              <w:t xml:space="preserve"> </w:t>
            </w:r>
            <w:r>
              <w:rPr>
                <w:rFonts w:hint="eastAsia" w:ascii="仿宋" w:hAnsi="仿宋" w:eastAsia="仿宋" w:cs="仿宋"/>
                <w:kern w:val="0"/>
                <w:sz w:val="24"/>
                <w:szCs w:val="24"/>
              </w:rPr>
              <w:t>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第一中心敬老院经费</w:t>
            </w: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0.2</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ascii="仿宋" w:hAnsi="仿宋" w:eastAsia="仿宋" w:cs="仿宋"/>
                <w:b/>
                <w:bCs/>
                <w:kern w:val="0"/>
                <w:sz w:val="22"/>
                <w:szCs w:val="22"/>
              </w:rPr>
              <w:t>0.</w:t>
            </w:r>
            <w:r>
              <w:rPr>
                <w:rFonts w:hint="eastAsia" w:ascii="仿宋" w:hAnsi="仿宋" w:eastAsia="仿宋" w:cs="仿宋"/>
                <w:b/>
                <w:bCs/>
                <w:kern w:val="0"/>
                <w:sz w:val="22"/>
                <w:szCs w:val="22"/>
                <w:lang w:val="en-US" w:eastAsia="zh-CN"/>
              </w:rPr>
              <w:t>2</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殡仪馆经费</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0.05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0.05</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2020年政府购买服务劳务派遣人员费用</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80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8</w:t>
            </w: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低收入家庭核查经费</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扶贫考核等经费</w:t>
            </w:r>
          </w:p>
        </w:tc>
        <w:tc>
          <w:tcPr>
            <w:tcW w:w="1436"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8</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8</w:t>
            </w: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2019年政府购买服务劳务派遣人员费用</w:t>
            </w: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110</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11</w:t>
            </w:r>
            <w:r>
              <w:rPr>
                <w:rFonts w:ascii="仿宋" w:hAnsi="仿宋" w:eastAsia="仿宋" w:cs="仿宋"/>
                <w:b/>
                <w:bCs/>
                <w:kern w:val="0"/>
                <w:sz w:val="22"/>
                <w:szCs w:val="22"/>
              </w:rPr>
              <w:t>0</w:t>
            </w:r>
          </w:p>
        </w:tc>
      </w:tr>
      <w:tr>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仿宋"/>
                <w:kern w:val="0"/>
                <w:sz w:val="18"/>
                <w:szCs w:val="18"/>
              </w:rPr>
            </w:pPr>
            <w:r>
              <w:rPr>
                <w:rFonts w:hint="eastAsia" w:ascii="仿宋" w:hAnsi="仿宋" w:eastAsia="仿宋" w:cs="仿宋"/>
                <w:kern w:val="0"/>
                <w:sz w:val="18"/>
                <w:szCs w:val="18"/>
              </w:rPr>
              <w:t>福彩公益金/失能、半失能老人鉴定费</w:t>
            </w:r>
          </w:p>
        </w:tc>
        <w:tc>
          <w:tcPr>
            <w:tcW w:w="1436"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5</w:t>
            </w:r>
            <w:r>
              <w:rPr>
                <w:rFonts w:ascii="仿宋" w:hAnsi="仿宋" w:eastAsia="仿宋" w:cs="仿宋"/>
                <w:b/>
                <w:bCs/>
                <w:kern w:val="0"/>
                <w:sz w:val="22"/>
                <w:szCs w:val="22"/>
              </w:rPr>
              <w:t>7</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57</w:t>
            </w:r>
          </w:p>
        </w:tc>
      </w:tr>
      <w:tr>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257.25</w:t>
            </w:r>
          </w:p>
        </w:tc>
        <w:tc>
          <w:tcPr>
            <w:tcW w:w="1470" w:type="dxa"/>
            <w:tcBorders>
              <w:top w:val="nil"/>
              <w:left w:val="nil"/>
              <w:bottom w:val="single" w:color="auto" w:sz="4" w:space="0"/>
              <w:right w:val="single" w:color="auto" w:sz="4" w:space="0"/>
            </w:tcBorders>
            <w:noWrap/>
            <w:vAlign w:val="center"/>
          </w:tcPr>
          <w:p>
            <w:pPr>
              <w:widowControl/>
              <w:jc w:val="right"/>
              <w:rPr>
                <w:rFonts w:ascii="仿宋" w:hAnsi="仿宋" w:eastAsia="仿宋" w:cs="Times New Roman"/>
                <w:b/>
                <w:bCs/>
                <w:kern w:val="0"/>
                <w:sz w:val="22"/>
                <w:szCs w:val="22"/>
              </w:rPr>
            </w:pP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10.25</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247</w:t>
            </w:r>
          </w:p>
        </w:tc>
      </w:tr>
      <w:tr>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总</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574.8602</w:t>
            </w:r>
          </w:p>
        </w:tc>
        <w:tc>
          <w:tcPr>
            <w:tcW w:w="147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1.26</w:t>
            </w:r>
          </w:p>
        </w:tc>
        <w:tc>
          <w:tcPr>
            <w:tcW w:w="1365"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20.2</w:t>
            </w:r>
          </w:p>
        </w:tc>
        <w:tc>
          <w:tcPr>
            <w:tcW w:w="1890" w:type="dxa"/>
            <w:tcBorders>
              <w:top w:val="nil"/>
              <w:left w:val="nil"/>
              <w:bottom w:val="single" w:color="auto" w:sz="4" w:space="0"/>
              <w:right w:val="single" w:color="auto" w:sz="4" w:space="0"/>
            </w:tcBorders>
            <w:noWrap/>
            <w:vAlign w:val="center"/>
          </w:tcPr>
          <w:p>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453.4002</w:t>
            </w:r>
          </w:p>
        </w:tc>
      </w:tr>
    </w:tbl>
    <w:p>
      <w:pPr>
        <w:spacing w:line="300" w:lineRule="exact"/>
        <w:ind w:firstLine="645"/>
        <w:jc w:val="left"/>
        <w:outlineLvl w:val="0"/>
        <w:rPr>
          <w:rFonts w:ascii="仿宋_GB2312" w:hAnsi="仿宋_GB2312" w:eastAsia="仿宋_GB2312" w:cs="Times New Roman"/>
          <w:color w:val="000000"/>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隆尧县民政局上年末固定资产金额为</w:t>
      </w:r>
      <w:r>
        <w:rPr>
          <w:rFonts w:hint="eastAsia" w:ascii="仿宋" w:hAnsi="仿宋" w:eastAsia="仿宋" w:cs="仿宋"/>
          <w:kern w:val="0"/>
          <w:sz w:val="32"/>
          <w:szCs w:val="32"/>
          <w:lang w:val="en-US" w:eastAsia="zh-CN"/>
        </w:rPr>
        <w:t>293.6744</w:t>
      </w:r>
      <w:r>
        <w:rPr>
          <w:rFonts w:hint="eastAsia" w:ascii="仿宋" w:hAnsi="仿宋" w:eastAsia="仿宋" w:cs="仿宋"/>
          <w:kern w:val="0"/>
          <w:sz w:val="32"/>
          <w:szCs w:val="32"/>
        </w:rPr>
        <w:t>万</w:t>
      </w:r>
      <w:r>
        <w:rPr>
          <w:rFonts w:hint="eastAsia" w:ascii="仿宋" w:hAnsi="仿宋" w:eastAsia="仿宋" w:cs="仿宋"/>
          <w:color w:val="000000"/>
          <w:sz w:val="32"/>
          <w:szCs w:val="32"/>
        </w:rPr>
        <w:t>元（详见下表），本年度各单位（处室）拟购置固定资产总额为</w:t>
      </w:r>
      <w:r>
        <w:rPr>
          <w:rFonts w:hint="eastAsia" w:ascii="仿宋" w:hAnsi="仿宋" w:eastAsia="仿宋" w:cs="仿宋"/>
          <w:color w:val="000000"/>
          <w:sz w:val="32"/>
          <w:szCs w:val="32"/>
          <w:lang w:val="en-US" w:eastAsia="zh-CN"/>
        </w:rPr>
        <w:t>21.46</w:t>
      </w:r>
      <w:bookmarkStart w:id="2" w:name="_GoBack"/>
      <w:bookmarkEnd w:id="2"/>
      <w:r>
        <w:rPr>
          <w:rFonts w:hint="eastAsia" w:ascii="仿宋" w:hAnsi="仿宋" w:eastAsia="仿宋" w:cs="仿宋"/>
          <w:color w:val="000000"/>
          <w:sz w:val="32"/>
          <w:szCs w:val="32"/>
        </w:rPr>
        <w:t>万元，主要为计算机、一体机、空调、打印机、投影仪、办公家具、印刷设备等，已列入政府采购预算表，详见政府采购预算表。</w:t>
      </w:r>
    </w:p>
    <w:p>
      <w:pPr>
        <w:rPr>
          <w:rFonts w:ascii="仿宋_GB2312" w:hAnsi="仿宋_GB2312" w:eastAsia="仿宋_GB2312" w:cs="Times New Roman"/>
          <w:color w:val="000000"/>
          <w:sz w:val="32"/>
          <w:szCs w:val="32"/>
        </w:rPr>
      </w:pPr>
    </w:p>
    <w:tbl>
      <w:tblPr>
        <w:tblStyle w:val="7"/>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隆尧县民政局固定资产占用情况表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编制部门：隆尧县民政局</w:t>
            </w:r>
          </w:p>
        </w:tc>
        <w:tc>
          <w:tcPr>
            <w:tcW w:w="6771"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截止时间：</w:t>
            </w:r>
            <w:r>
              <w:rPr>
                <w:rFonts w:ascii="仿宋_GB2312" w:hAnsi="仿宋_GB2312" w:eastAsia="仿宋_GB2312" w:cs="仿宋_GB2312"/>
                <w:color w:val="000000"/>
                <w:sz w:val="24"/>
                <w:szCs w:val="24"/>
              </w:rPr>
              <w:t>201</w:t>
            </w:r>
            <w:r>
              <w:rPr>
                <w:rFonts w:hint="eastAsia" w:ascii="仿宋_GB2312" w:hAnsi="仿宋_GB2312" w:eastAsia="仿宋_GB2312" w:cs="仿宋_GB2312"/>
                <w:color w:val="000000"/>
                <w:sz w:val="24"/>
                <w:szCs w:val="24"/>
                <w:lang w:val="en-US" w:eastAsia="zh-CN"/>
              </w:rPr>
              <w:t>9</w:t>
            </w:r>
            <w:r>
              <w:rPr>
                <w:rFonts w:hint="eastAsia" w:ascii="仿宋_GB2312" w:hAnsi="仿宋_GB2312" w:eastAsia="仿宋_GB2312" w:cs="仿宋_GB2312"/>
                <w:color w:val="000000"/>
                <w:sz w:val="24"/>
                <w:szCs w:val="24"/>
              </w:rPr>
              <w:t>年</w:t>
            </w:r>
            <w:r>
              <w:rPr>
                <w:rFonts w:ascii="仿宋_GB2312" w:hAnsi="仿宋_GB2312" w:eastAsia="仿宋_GB2312" w:cs="仿宋_GB2312"/>
                <w:color w:val="000000"/>
                <w:sz w:val="24"/>
                <w:szCs w:val="24"/>
              </w:rPr>
              <w:t>12</w:t>
            </w:r>
            <w:r>
              <w:rPr>
                <w:rFonts w:hint="eastAsia" w:ascii="仿宋_GB2312" w:hAnsi="仿宋_GB2312" w:eastAsia="仿宋_GB2312" w:cs="仿宋_GB2312"/>
                <w:color w:val="000000"/>
                <w:sz w:val="24"/>
                <w:szCs w:val="24"/>
              </w:rPr>
              <w:t>月</w:t>
            </w:r>
            <w:r>
              <w:rPr>
                <w:rFonts w:ascii="仿宋_GB2312" w:hAnsi="仿宋_GB2312" w:eastAsia="仿宋_GB2312" w:cs="仿宋_GB2312"/>
                <w:color w:val="000000"/>
                <w:sz w:val="24"/>
                <w:szCs w:val="24"/>
              </w:rPr>
              <w:t>31</w:t>
            </w:r>
            <w:r>
              <w:rPr>
                <w:rFonts w:hint="eastAsia" w:ascii="仿宋_GB2312" w:hAnsi="仿宋_GB2312" w:eastAsia="仿宋_GB2312" w:cs="仿宋_GB2312"/>
                <w:color w:val="000000"/>
                <w:sz w:val="24"/>
                <w:szCs w:val="24"/>
              </w:rPr>
              <w:t>日</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Fonts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rPr>
              <w:t>目</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数量</w:t>
            </w: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价值（金额单位：万元）</w:t>
            </w:r>
            <w:r>
              <w:rPr>
                <w:rFonts w:ascii="仿宋_GB2312" w:hAnsi="仿宋_GB2312" w:eastAsia="仿宋_GB2312" w:cs="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资产总额</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293.6744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rPr>
              <w:t>、房屋（平方米）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165.1506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其中：办公用房（平方米）</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165.1506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rPr>
              <w:t>、车辆（台、辆）</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hint="eastAsia" w:ascii="仿宋_GB2312" w:hAnsi="仿宋_GB2312" w:eastAsia="仿宋_GB2312" w:cs="Times New Roman"/>
                <w:color w:val="000000"/>
                <w:sz w:val="24"/>
                <w:szCs w:val="24"/>
                <w:lang w:eastAsia="zh-CN"/>
              </w:rPr>
            </w:pPr>
            <w:r>
              <w:rPr>
                <w:rFonts w:hint="eastAsia" w:ascii="仿宋_GB2312" w:hAnsi="仿宋_GB2312" w:eastAsia="仿宋_GB2312" w:cs="仿宋_GB2312"/>
                <w:color w:val="000000"/>
                <w:sz w:val="24"/>
                <w:szCs w:val="24"/>
                <w:lang w:val="en-US" w:eastAsia="zh-CN"/>
              </w:rPr>
              <w:t>2</w:t>
            </w:r>
          </w:p>
        </w:tc>
        <w:tc>
          <w:tcPr>
            <w:tcW w:w="4514" w:type="dxa"/>
          </w:tcPr>
          <w:p>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20.855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rPr>
              <w:t>、其他设备</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4</w:t>
            </w:r>
            <w:r>
              <w:rPr>
                <w:rFonts w:hint="eastAsia" w:ascii="仿宋_GB2312" w:hAnsi="仿宋_GB2312" w:eastAsia="仿宋_GB2312" w:cs="仿宋_GB2312"/>
                <w:color w:val="000000"/>
                <w:sz w:val="24"/>
                <w:szCs w:val="24"/>
              </w:rPr>
              <w:t>、其他固定资产</w:t>
            </w:r>
            <w:r>
              <w:rPr>
                <w:rFonts w:ascii="仿宋_GB2312" w:hAnsi="仿宋_GB2312" w:eastAsia="仿宋_GB2312" w:cs="仿宋_GB2312"/>
                <w:color w:val="000000"/>
                <w:sz w:val="24"/>
                <w:szCs w:val="24"/>
              </w:rPr>
              <w:t xml:space="preserve"> </w:t>
            </w:r>
          </w:p>
        </w:tc>
        <w:tc>
          <w:tcPr>
            <w:tcW w:w="4513" w:type="dxa"/>
            <w:gridSpan w:val="2"/>
          </w:tcPr>
          <w:p>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107.6688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1"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宋体-方正超大字符集">
    <w:panose1 w:val="03000509000000000000"/>
    <w:charset w:val="86"/>
    <w:family w:val="script"/>
    <w:pitch w:val="default"/>
    <w:sig w:usb0="00000001" w:usb1="080E0000" w:usb2="00000000" w:usb3="00000000" w:csb0="00040000" w:csb1="00000000"/>
  </w:font>
  <w:font w:name="SimSun-ExtB">
    <w:panose1 w:val="02010609060101010101"/>
    <w:charset w:val="86"/>
    <w:family w:val="auto"/>
    <w:pitch w:val="default"/>
    <w:sig w:usb0="00000001" w:usb1="02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033A39"/>
    <w:rsid w:val="000877C0"/>
    <w:rsid w:val="001E5A8E"/>
    <w:rsid w:val="002070B7"/>
    <w:rsid w:val="002C2B18"/>
    <w:rsid w:val="003A4FB0"/>
    <w:rsid w:val="003A65C5"/>
    <w:rsid w:val="003B67E6"/>
    <w:rsid w:val="003D255C"/>
    <w:rsid w:val="003E27E9"/>
    <w:rsid w:val="003F12B9"/>
    <w:rsid w:val="003F4292"/>
    <w:rsid w:val="00416F35"/>
    <w:rsid w:val="0046545D"/>
    <w:rsid w:val="0054478B"/>
    <w:rsid w:val="005712FF"/>
    <w:rsid w:val="005A3B52"/>
    <w:rsid w:val="0074770E"/>
    <w:rsid w:val="007941F0"/>
    <w:rsid w:val="007E6C03"/>
    <w:rsid w:val="007F41D7"/>
    <w:rsid w:val="008545CB"/>
    <w:rsid w:val="00877B1D"/>
    <w:rsid w:val="00982027"/>
    <w:rsid w:val="009C6785"/>
    <w:rsid w:val="00A00620"/>
    <w:rsid w:val="00A5050A"/>
    <w:rsid w:val="00A871D4"/>
    <w:rsid w:val="00B50760"/>
    <w:rsid w:val="00BE308C"/>
    <w:rsid w:val="00C40AA4"/>
    <w:rsid w:val="00C45C57"/>
    <w:rsid w:val="00C67CC4"/>
    <w:rsid w:val="00CA73AE"/>
    <w:rsid w:val="00CF0259"/>
    <w:rsid w:val="00CF30C6"/>
    <w:rsid w:val="00DF2F7A"/>
    <w:rsid w:val="00EC3709"/>
    <w:rsid w:val="00EE55D4"/>
    <w:rsid w:val="00F73D27"/>
    <w:rsid w:val="00FE1963"/>
    <w:rsid w:val="02D17B65"/>
    <w:rsid w:val="05D469FB"/>
    <w:rsid w:val="183029A8"/>
    <w:rsid w:val="1F244186"/>
    <w:rsid w:val="41872004"/>
    <w:rsid w:val="529D7A2C"/>
    <w:rsid w:val="59B37839"/>
    <w:rsid w:val="69DE7505"/>
    <w:rsid w:val="77C628EF"/>
    <w:rsid w:val="7DFD265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Footer Char"/>
    <w:basedOn w:val="8"/>
    <w:link w:val="2"/>
    <w:semiHidden/>
    <w:qFormat/>
    <w:locked/>
    <w:uiPriority w:val="99"/>
    <w:rPr>
      <w:rFonts w:ascii="Times New Roman" w:hAnsi="Times New Roman" w:eastAsia="宋体" w:cs="Times New Roman"/>
      <w:sz w:val="18"/>
      <w:szCs w:val="18"/>
    </w:rPr>
  </w:style>
  <w:style w:type="character" w:customStyle="1" w:styleId="11">
    <w:name w:val="Header Char"/>
    <w:basedOn w:val="8"/>
    <w:link w:val="3"/>
    <w:semiHidden/>
    <w:qFormat/>
    <w:locked/>
    <w:uiPriority w:val="99"/>
    <w:rPr>
      <w:rFonts w:ascii="Times New Roman" w:hAnsi="Times New Roman" w:eastAsia="宋体" w:cs="Times New Roman"/>
      <w:sz w:val="18"/>
      <w:szCs w:val="18"/>
    </w:rPr>
  </w:style>
  <w:style w:type="character" w:customStyle="1" w:styleId="12">
    <w:name w:val="Footnote Text Char"/>
    <w:basedOn w:val="8"/>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14</Pages>
  <Words>986</Words>
  <Characters>5625</Characters>
  <Lines>0</Lines>
  <Paragraphs>0</Paragraphs>
  <TotalTime>1</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2019-02-27T08:09:00Z</dcterms:created>
  <dc:creator>guest</dc:creator>
  <cp:lastModifiedBy>Mr.Long’</cp:lastModifiedBy>
  <cp:lastPrinted>2017-02-10T09:57:00Z</cp:lastPrinted>
  <dcterms:modified xsi:type="dcterms:W3CDTF">2021-05-27T03:32:12Z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