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Times New Roman" w:hAnsi="Times New Roman" w:eastAsia="方正小标宋_GBK" w:cs="Times New Roman"/>
          <w:sz w:val="44"/>
          <w:szCs w:val="44"/>
          <w:lang w:eastAsia="zh-CN"/>
        </w:rPr>
        <w:t>隆尧县人力资源和社会保障局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隆尧县人力资源和社会保障局</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依照宪法和地方组织法的规定，</w:t>
      </w:r>
      <w:r>
        <w:rPr>
          <w:rFonts w:hint="eastAsia" w:ascii="Times New Roman" w:hAnsi="Times New Roman" w:eastAsia="仿宋" w:cs="Times New Roman"/>
          <w:sz w:val="32"/>
          <w:szCs w:val="32"/>
          <w:lang w:eastAsia="zh-CN"/>
        </w:rPr>
        <w:t>隆尧县人力资源和社会保障局</w:t>
      </w:r>
      <w:r>
        <w:rPr>
          <w:rFonts w:hint="eastAsia" w:ascii="Times New Roman" w:hAnsi="Times New Roman" w:eastAsia="仿宋" w:cs="Times New Roman"/>
          <w:sz w:val="32"/>
          <w:szCs w:val="32"/>
        </w:rPr>
        <w:t>行使下列职权：</w:t>
      </w:r>
    </w:p>
    <w:p>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一）贯彻落实执行国家、省、邢台市人力资源和社会保障工作的方针政策和法律法规。监督检查人力资源和社会保障法律、法规执行情况，依法行使监督检查职权。负责全市人力资源和社会保障的宣传和舆情研究。</w:t>
      </w:r>
    </w:p>
    <w:p>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二）拟订人力资源和社会保障制度改革方案，编制人力资源和社会保障事业发展规划和政策措施并组织实施。拟订人力资源市场发展规划和人力资源流动政策，建立统一规范的人力资源市场，促进人力资源合理流动、有效配置，拟订机构改革人员定岗和分流政策并组织实施。</w:t>
      </w:r>
    </w:p>
    <w:p>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三）负责促进就业工作，拟订统筹城乡的就业发展规划和政策，完善公共就业服务体系，组织实施就业援助制度，完善职业资格制度，组织贯彻执行职业分类、职业技能标准，综合管理全市工人技术培训考核和鉴定工作，统筹建立面向城乡劳动者的职业培训制度。牵头组织实施高校毕业生就业政策，按规定负责中专以上毕业生的就业工作，承办国家、省、邢台市和我市特殊需要人才的选调工作，协助有关部门组织选派援疆、援藏干部及其内返安置工作。会同有关部门落实高技能人才、农村实用人才培养和激励政策。拟订人员调配政策和特殊人员安置政策。</w:t>
      </w:r>
    </w:p>
    <w:p>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四）贯彻落实国家、省、市社会保障有关法律、法规和政策规定；负责城镇职工和城乡居民养老、城镇职工和居民医疗、生育、工伤、失业保险的经办工作；负责全市社会保险统计和数据应用工作；指导全市社会保险社会化管理服务有关工作。</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hint="eastAsia"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89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91"/>
        <w:gridCol w:w="1134"/>
        <w:gridCol w:w="1276"/>
        <w:gridCol w:w="25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91"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59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91"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594"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91"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隆尧县人力资源和社会保障局</w:t>
            </w:r>
            <w:r>
              <w:rPr>
                <w:rFonts w:hint="eastAsia" w:ascii="仿宋_GB2312" w:hAnsi="仿宋_GB2312" w:eastAsia="仿宋_GB2312"/>
                <w:bCs/>
                <w:kern w:val="0"/>
                <w:sz w:val="24"/>
                <w:szCs w:val="24"/>
              </w:rPr>
              <w:t>（机关）</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259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Pr>
        <w:jc w:val="center"/>
        <w:outlineLvl w:val="0"/>
        <w:rPr>
          <w:rFonts w:hint="eastAsia" w:ascii="Times New Roman" w:hAnsi="Times New Roman" w:eastAsia="方正小标宋_GBK" w:cs="Times New Roman"/>
          <w:sz w:val="32"/>
          <w:szCs w:val="24"/>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隆尧县人力资源和社会保障局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反映本部门当年全部收入。2020年预算收入3163.78万元，其中：一般公共预算收入2720.14万元，政府性基金预算收入443.63万元，财政专户核拨收入0万元，其他来源收入0万元。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隆尧县人力资源和社会保障局</w:t>
      </w:r>
      <w:r>
        <w:rPr>
          <w:rFonts w:hint="eastAsia" w:ascii="Times New Roman" w:hAnsi="Times New Roman" w:eastAsia="仿宋" w:cs="Times New Roman"/>
          <w:sz w:val="32"/>
          <w:szCs w:val="32"/>
        </w:rPr>
        <w:t>年度部门预算中支出预算的总体情况。2020年部门支出预算为3163.78万元，其中基本支出468.12万元，包括人员经费440.56万元和日常公用经费27.56万元；项目支出</w:t>
      </w:r>
      <w:r>
        <w:rPr>
          <w:rFonts w:hint="eastAsia" w:ascii="Times New Roman" w:hAnsi="Times New Roman" w:eastAsia="仿宋" w:cs="Times New Roman"/>
          <w:sz w:val="32"/>
          <w:szCs w:val="32"/>
          <w:lang w:val="en-US" w:eastAsia="zh-CN"/>
        </w:rPr>
        <w:t>2252.03</w:t>
      </w:r>
      <w:r>
        <w:rPr>
          <w:rFonts w:hint="eastAsia" w:ascii="Times New Roman" w:hAnsi="Times New Roman" w:eastAsia="仿宋" w:cs="Times New Roman"/>
          <w:sz w:val="32"/>
          <w:szCs w:val="32"/>
        </w:rPr>
        <w:t>万元，主要为人力资源和社会保障管理事务450.53万元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就业补助支出1724.5万元，其他社会保障和就业支出</w:t>
      </w:r>
      <w:r>
        <w:rPr>
          <w:rFonts w:hint="eastAsia" w:ascii="Times New Roman" w:hAnsi="Times New Roman" w:eastAsia="仿宋" w:cs="Times New Roman"/>
          <w:sz w:val="32"/>
          <w:szCs w:val="32"/>
          <w:lang w:val="en-US" w:eastAsia="zh-CN"/>
        </w:rPr>
        <w:t>15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普惠金融发展支出</w:t>
      </w:r>
      <w:r>
        <w:rPr>
          <w:rFonts w:hint="eastAsia" w:ascii="Times New Roman" w:hAnsi="Times New Roman" w:eastAsia="仿宋" w:cs="Times New Roman"/>
          <w:sz w:val="32"/>
          <w:szCs w:val="32"/>
          <w:lang w:val="en-US" w:eastAsia="zh-CN"/>
        </w:rPr>
        <w:t>62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；政府基金预算财政拨款支出</w:t>
      </w:r>
      <w:r>
        <w:rPr>
          <w:rFonts w:hint="eastAsia" w:ascii="Times New Roman" w:hAnsi="Times New Roman" w:eastAsia="仿宋" w:cs="Times New Roman"/>
          <w:sz w:val="32"/>
          <w:szCs w:val="32"/>
        </w:rPr>
        <w:t>443.63</w:t>
      </w:r>
      <w:r>
        <w:rPr>
          <w:rFonts w:hint="eastAsia" w:ascii="Times New Roman" w:hAnsi="Times New Roman" w:eastAsia="仿宋" w:cs="Times New Roman"/>
          <w:sz w:val="32"/>
          <w:szCs w:val="32"/>
          <w:lang w:eastAsia="zh-CN"/>
        </w:rPr>
        <w:t>万元，为</w:t>
      </w:r>
      <w:r>
        <w:rPr>
          <w:rFonts w:hint="eastAsia" w:ascii="Times New Roman" w:hAnsi="Times New Roman" w:eastAsia="仿宋" w:cs="Times New Roman"/>
          <w:sz w:val="32"/>
          <w:szCs w:val="32"/>
        </w:rPr>
        <w:t>城市建设支出443.63</w:t>
      </w:r>
      <w:r>
        <w:rPr>
          <w:rFonts w:hint="eastAsia" w:ascii="Times New Roman" w:hAnsi="Times New Roman" w:eastAsia="仿宋" w:cs="Times New Roman"/>
          <w:sz w:val="32"/>
          <w:szCs w:val="32"/>
          <w:lang w:eastAsia="zh-CN"/>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3163.78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22097.65</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101.18</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机构划转城乡居民是基本医疗保险划转医保局，人员减少</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22052.1</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机构划转城乡居民是基本医疗保险划转医保局；政府基金预算财政拨款支出</w:t>
      </w:r>
      <w:r>
        <w:rPr>
          <w:rFonts w:hint="eastAsia" w:ascii="Times New Roman" w:hAnsi="Times New Roman" w:eastAsia="仿宋" w:cs="Times New Roman"/>
          <w:sz w:val="32"/>
          <w:szCs w:val="32"/>
        </w:rPr>
        <w:t>增长</w:t>
      </w:r>
      <w:r>
        <w:rPr>
          <w:rFonts w:hint="eastAsia" w:ascii="Times New Roman" w:hAnsi="Times New Roman" w:eastAsia="仿宋" w:cs="Times New Roman"/>
          <w:sz w:val="32"/>
          <w:szCs w:val="32"/>
          <w:lang w:val="en-US" w:eastAsia="zh-CN"/>
        </w:rPr>
        <w:t>55.63</w:t>
      </w:r>
      <w:r>
        <w:rPr>
          <w:rFonts w:hint="eastAsia" w:ascii="Times New Roman" w:hAnsi="Times New Roman" w:eastAsia="仿宋" w:cs="Times New Roman"/>
          <w:sz w:val="32"/>
          <w:szCs w:val="32"/>
          <w:lang w:eastAsia="zh-CN"/>
        </w:rPr>
        <w:t>万元，</w:t>
      </w:r>
      <w:r>
        <w:rPr>
          <w:rFonts w:hint="eastAsia" w:ascii="Times New Roman" w:hAnsi="Times New Roman" w:eastAsia="仿宋" w:cs="Times New Roman"/>
          <w:sz w:val="32"/>
          <w:szCs w:val="32"/>
        </w:rPr>
        <w:t>主要为城市建设支出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55.63</w:t>
      </w:r>
      <w:r>
        <w:rPr>
          <w:rFonts w:hint="eastAsia" w:ascii="Times New Roman" w:hAnsi="Times New Roman" w:eastAsia="仿宋" w:cs="Times New Roman"/>
          <w:sz w:val="32"/>
          <w:szCs w:val="32"/>
          <w:lang w:eastAsia="zh-CN"/>
        </w:rPr>
        <w:t>万元</w:t>
      </w:r>
      <w:r>
        <w:rPr>
          <w:rFonts w:hint="eastAsia" w:ascii="Times New Roman" w:hAnsi="Times New Roman" w:eastAsia="仿宋" w:cs="Times New Roman"/>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27.56</w:t>
      </w:r>
      <w:r>
        <w:rPr>
          <w:rFonts w:hint="eastAsia" w:ascii="Times New Roman" w:hAnsi="Times New Roman" w:eastAsia="仿宋" w:cs="Times New Roman"/>
          <w:sz w:val="32"/>
          <w:szCs w:val="32"/>
        </w:rPr>
        <w:t>万元，主要用于保证机关正常运转的办公及差旅费、工会经费、福利费、其他交通费用、其他商品和服务支出等支出。</w:t>
      </w: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0.85</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0.85</w:t>
      </w:r>
      <w:r>
        <w:rPr>
          <w:rFonts w:hint="eastAsia" w:ascii="Times New Roman" w:hAnsi="Times New Roman" w:eastAsia="仿宋" w:cs="Times New Roman"/>
          <w:sz w:val="32"/>
          <w:szCs w:val="32"/>
        </w:rPr>
        <w:t>万元。</w:t>
      </w:r>
      <w:r>
        <w:rPr>
          <w:rFonts w:hint="eastAsia" w:ascii="仿宋_GB2312" w:hAnsi="仿宋_GB2312" w:eastAsia="仿宋_GB2312" w:cs="仿宋_GB2312"/>
          <w:sz w:val="32"/>
          <w:szCs w:val="32"/>
        </w:rPr>
        <w:t>公务接待费</w:t>
      </w:r>
      <w:r>
        <w:rPr>
          <w:rFonts w:hint="eastAsia" w:ascii="仿宋_GB2312" w:hAnsi="仿宋_GB2312" w:eastAsia="仿宋_GB2312" w:cs="仿宋_GB2312"/>
          <w:sz w:val="32"/>
          <w:szCs w:val="32"/>
          <w:lang w:val="en-US" w:eastAsia="zh-CN"/>
        </w:rPr>
        <w:t>0.85</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较</w:t>
      </w:r>
      <w:r>
        <w:rPr>
          <w:rFonts w:hint="eastAsia" w:ascii="仿宋_GB2312" w:hAnsi="仿宋_GB2312" w:eastAsia="仿宋_GB2312" w:cs="仿宋_GB2312"/>
          <w:sz w:val="32"/>
          <w:szCs w:val="32"/>
          <w:lang w:val="en-US" w:eastAsia="zh-CN"/>
        </w:rPr>
        <w:t>上年</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0.10</w:t>
      </w:r>
      <w:bookmarkStart w:id="39" w:name="_GoBack"/>
      <w:bookmarkEnd w:id="39"/>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lang w:val="en-US" w:eastAsia="zh-CN"/>
        </w:rPr>
        <w:t>元，主要原因是</w:t>
      </w:r>
      <w:r>
        <w:rPr>
          <w:rFonts w:hint="eastAsia" w:ascii="Times New Roman" w:hAnsi="Times New Roman" w:eastAsia="仿宋" w:cs="Times New Roman"/>
          <w:sz w:val="32"/>
          <w:szCs w:val="32"/>
        </w:rPr>
        <w:t>压减经费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“三公”经费与上年</w:t>
      </w:r>
      <w:r>
        <w:rPr>
          <w:rFonts w:hint="eastAsia" w:ascii="Times New Roman" w:hAnsi="Times New Roman" w:eastAsia="仿宋" w:cs="Times New Roman"/>
          <w:sz w:val="32"/>
          <w:szCs w:val="32"/>
          <w:lang w:eastAsia="zh-CN"/>
        </w:rPr>
        <w:t>相比</w:t>
      </w:r>
      <w:r>
        <w:rPr>
          <w:rFonts w:hint="eastAsia" w:ascii="Times New Roman" w:hAnsi="Times New Roman" w:eastAsia="仿宋" w:cs="Times New Roman"/>
          <w:sz w:val="32"/>
          <w:szCs w:val="32"/>
        </w:rPr>
        <w:t>减少0.</w:t>
      </w:r>
      <w:r>
        <w:rPr>
          <w:rFonts w:hint="eastAsia" w:ascii="Times New Roman" w:hAnsi="Times New Roman" w:eastAsia="仿宋" w:cs="Times New Roman"/>
          <w:sz w:val="32"/>
          <w:szCs w:val="32"/>
          <w:lang w:val="en-US" w:eastAsia="zh-CN"/>
        </w:rPr>
        <w:t>10</w:t>
      </w:r>
      <w:r>
        <w:rPr>
          <w:rFonts w:hint="eastAsia" w:ascii="Times New Roman" w:hAnsi="Times New Roman" w:eastAsia="仿宋" w:cs="Times New Roman"/>
          <w:sz w:val="32"/>
          <w:szCs w:val="32"/>
        </w:rPr>
        <w:t>万元,减少主要原因是压减“三公”经费。</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隆尧县人社局将深入贯彻落实党的十九大和十九届四中全会精神，以习近平新时代中国特色社会主义思想为指引，突出就业创业、社会保障两大重点，稳步推进人事人才工作，积极构建和谐劳动关系，全力助推扶贫脱贫攻坚，为建设经济强县、幸福隆尧做出积极贡献。</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、全力做好就业创业工作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加大就业创业政策落实力度。</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加大就业扶贫力度，促进贫困劳动力就业。</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进一步规范和完善政府购买服务职业培训服务流程，加大培训力度，开展有针对性的职业技能培训。</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加大创业担保贷款力度，提高贷款发放效率。</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完善创业孵化园建设管理，为创业者提供便捷优良的创业环境和高效优质的创业服务。</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、不断完善社会保障体系</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加大社会保险政策宣传力度，充分发挥舆论宣传的引导和监督作用，营造依法参保的社会氛围。继续推进社会保障卡发行应用工作，不断扩大社保卡应用覆盖范围。</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、扎实推进人事人才工作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以春季人力资源交流会为龙头，并借助新建成服务中心中人力资源交流大厅定期举办各类招聘活动，不断推动实现人才交流会常态化。</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积极探索网络人力资源交流途径。</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提高职业介绍服务水平。</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深入推进事业单位人事制度改革。</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深入推进职称制度改革。</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、积极构建和谐劳动关系</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继续以规范劳动用工为重点，切实维护劳动者的合法权益。</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始终把打击拖欠农民工工资行为、保障农民工工资支付工作贯穿全年工作安排，切实保障农民工的合法权益。</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认真贯彻落实《劳动人事争议调解仲裁法》，维护社会大局稳定。</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、切实加强机关自身建设</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继续加强县乡村三级服务平台建设，形成覆盖全县城乡的人力资源和社会保障服务网络。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借助隆尧县人力资源和社会保障综合服务中心的投入使用，大力推进“互联网+政务服务”工作，推行服务事项网上办理，切实提高服务质量和服务水平。</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坚持党要管党、全面从严治党，着力打造忠诚、干净、担当的人社干部队伍。</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、就业创业工作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大就业创业政策落实力度，统筹做好高校毕业生、城镇困难人员、农村转移劳动力、退役军人等人群就业创业工作。加大就业扶贫力度，拓宽贫困劳动力就地就近就业渠道，促进贫困劳动力就业。进一步规范和完善政府购买服务职业培训服务流程，选好培训机构，提高培训质量；进一步加大培训力度，开展有针对性的职业技能培训。加大创业担保贷款力度，积极探索创业担保贷款电子化审批流转模式，提高贷款发放效率。完善创业孵化园建设管理，重点加强初次创业扶持力度，为创业者提供便捷优良的创业环境和高效优质的创业服务。</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、不断完善社会保障体系</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大社会保险政策宣传力度，充分发挥舆论宣传的引导和监督作用，营造依法参保的社会氛围。加大督导检查和依法稽核力度，切实扩大社会保险覆盖面，确保企业养老、工伤、失业等各项社会保险任务目标顺利完成，城乡居民基本养老保险参保率达到99%以上。继续探索社会保险待遇领取人员认证工作新模式，确保社保基金安全，有效避免冒领现象发生。继续推进社会保障卡发行应用工作，不断扩大社保卡应用覆盖范围。</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、扎实推进人事人才工作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以春季人力资源交流会为龙头，并借助新建成服务中心中人力资源交流大厅定期举办各类招聘活动，不断推动实现人才交流会常态化。积极探索网络人力资源交流途径，不断扩大“隆尧县人力资源市场”微信公众号关注度，使得招工求职更加快捷、高效。提高职业介绍服务水平，探索就业指导服务、推荐就业、推荐培训相结合的“一站式”服务新模式。深入推进事业单位人事制度改革，做好2020年事业单位工作人员公开招（选）聘工作。深入推进职称制度改革，继续完善全县事业单位专业技术人员岗位设置、职称聘用、职称挂钩、职称晋档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、构建和谐劳动关系</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继续以规范劳动用工为重点，有针对性地对各类用人单位的劳动合同签订与解除、工资支付、参加社会保险等情况开展执法检查，并对发现的劳动违法问题进行严肃处理，切实维护劳动者的合法权益。始终把打击拖欠农民工工资行为、保障农民工工资支付工作贯穿全年工作安排，采取专项检查、日常巡查、审查书面材料、受理投诉举报、联合执法等方式进行监督监察，切实保障农民工的合法权益。认真贯彻落实《劳动人事争议调解仲裁法》，妥善处理劳动人事争议案件，及时化解各种矛盾纠纷，维护社会大局稳定。</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、切实加强机关自身建设</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继续加强县乡村三级服务平台建设，形成覆盖全县城乡的人力资源和社会保障服务网络。借助隆尧县人力资源和社会保障综合服务中心的投入使用，大力推进“互联网+政务服务”工作，推行服务事项网上办理，切实提高服务质量和服务水平。坚持党要管党、全面从严治党，认真落实“三会一课”、组织生活会、民主评议党员等党内生活制度，丰富主题党日活动，强化党风廉政教育，着力打造忠诚、干净、担当的人社干部队伍。</w:t>
      </w:r>
    </w:p>
    <w:p>
      <w:pPr>
        <w:spacing w:line="500" w:lineRule="exact"/>
        <w:ind w:firstLine="560" w:firstLineChars="200"/>
        <w:jc w:val="left"/>
        <w:outlineLvl w:val="9"/>
        <w:rPr>
          <w:rFonts w:hint="eastAsia" w:ascii="Times New Roman" w:hAnsi="方正仿宋_GBK" w:eastAsia="方正仿宋_GBK" w:cs="方正仿宋_GBK"/>
          <w:b w:val="0"/>
          <w:sz w:val="28"/>
          <w:u w:val="none"/>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eastAsia="方正仿宋_GBK"/>
          <w:b/>
          <w:sz w:val="28"/>
        </w:rPr>
        <w:t xml:space="preserve">  </w:t>
      </w:r>
      <w:r>
        <w:rPr>
          <w:rFonts w:hint="eastAsia" w:ascii="方正仿宋_GBK" w:hAnsi="方正仿宋_GBK" w:eastAsia="方正仿宋_GBK" w:cs="方正仿宋_GBK"/>
          <w:b/>
          <w:sz w:val="28"/>
          <w:u w:val="none"/>
          <w:lang w:eastAsia="zh-CN"/>
        </w:rPr>
        <w:t>1、办案补助/考试考务费绩效目标表</w:t>
      </w:r>
      <w:bookmarkStart w:id="4" w:name="_Toc6972"/>
      <w:r>
        <w:fldChar w:fldCharType="begin"/>
      </w:r>
      <w:r>
        <w:rPr>
          <w:rFonts w:hint="eastAsia" w:ascii="方正仿宋_GBK" w:hAnsi="方正仿宋_GBK" w:eastAsia="方正仿宋_GBK" w:cs="方正仿宋_GBK"/>
          <w:b/>
          <w:sz w:val="28"/>
          <w:u w:val="none"/>
          <w:lang w:eastAsia="zh-CN"/>
        </w:rPr>
        <w:instrText xml:space="preserve"> TC 1、办案补助/考试考务费绩效目标表 \f C \l 1 </w:instrText>
      </w:r>
      <w:r>
        <w:rPr>
          <w:rFonts w:hint="eastAsia" w:ascii="方正仿宋_GBK" w:hAnsi="方正仿宋_GBK" w:eastAsia="方正仿宋_GBK" w:cs="方正仿宋_GBK"/>
          <w:b/>
          <w:sz w:val="28"/>
          <w:u w:val="none"/>
          <w:lang w:eastAsia="zh-CN"/>
        </w:rPr>
        <w:fldChar w:fldCharType="end"/>
      </w:r>
      <w:bookmarkEnd w:id="4"/>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316-0402-JXN-ZF3P</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办案补助/考试考务费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160000.00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160000.00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事业单位招聘收费返还工作经费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1、事业单位招聘报名</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2、完成事业单位招聘考录工作</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2、办案补助/其他罚没收入绩效目标表</w:t>
      </w:r>
      <w:bookmarkStart w:id="5" w:name="_Toc32247"/>
      <w:r>
        <w:fldChar w:fldCharType="begin"/>
      </w:r>
      <w:r>
        <w:rPr>
          <w:rFonts w:hint="eastAsia" w:ascii="方正仿宋_GBK" w:hAnsi="方正仿宋_GBK" w:eastAsia="方正仿宋_GBK" w:cs="方正仿宋_GBK"/>
          <w:b/>
          <w:sz w:val="28"/>
          <w:u w:val="none"/>
          <w:lang w:eastAsia="zh-CN"/>
        </w:rPr>
        <w:instrText xml:space="preserve"> TC 2、办案补助/其他罚没收入绩效目标表 \f C \l 1 </w:instrText>
      </w:r>
      <w:r>
        <w:rPr>
          <w:rFonts w:hint="eastAsia" w:ascii="方正仿宋_GBK" w:hAnsi="方正仿宋_GBK" w:eastAsia="方正仿宋_GBK" w:cs="方正仿宋_GBK"/>
          <w:b/>
          <w:sz w:val="28"/>
          <w:u w:val="none"/>
          <w:lang w:eastAsia="zh-CN"/>
        </w:rPr>
        <w:fldChar w:fldCharType="end"/>
      </w:r>
      <w:bookmarkEnd w:id="5"/>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316-0601-JXN-RM6L</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办案补助/其他罚没收入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24000.00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24000.00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劳动监察罚没工作经费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1、劳动监察工作</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2、劳动监察罚没工作</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3、办案补助/职业技能鉴定考试考务费绩效目标表</w:t>
      </w:r>
      <w:bookmarkStart w:id="6" w:name="_Toc8667"/>
      <w:r>
        <w:fldChar w:fldCharType="begin"/>
      </w:r>
      <w:r>
        <w:rPr>
          <w:rFonts w:hint="eastAsia" w:ascii="方正仿宋_GBK" w:hAnsi="方正仿宋_GBK" w:eastAsia="方正仿宋_GBK" w:cs="方正仿宋_GBK"/>
          <w:b/>
          <w:sz w:val="28"/>
          <w:u w:val="none"/>
          <w:lang w:eastAsia="zh-CN"/>
        </w:rPr>
        <w:instrText xml:space="preserve"> TC 3、办案补助/职业技能鉴定考试考务费绩效目标表 \f C \l 1 </w:instrText>
      </w:r>
      <w:r>
        <w:rPr>
          <w:rFonts w:hint="eastAsia" w:ascii="方正仿宋_GBK" w:hAnsi="方正仿宋_GBK" w:eastAsia="方正仿宋_GBK" w:cs="方正仿宋_GBK"/>
          <w:b/>
          <w:sz w:val="28"/>
          <w:u w:val="none"/>
          <w:lang w:eastAsia="zh-CN"/>
        </w:rPr>
        <w:fldChar w:fldCharType="end"/>
      </w:r>
      <w:bookmarkEnd w:id="6"/>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316-0402-JXN-Q4VA</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办案补助/职业技能鉴定考试考务费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16000.00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16000.00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用于职称评审工作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1、初级职称报名</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2、初级职称评审</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4、创业担保贷款担保基金县配套绩效目标表</w:t>
      </w:r>
      <w:bookmarkStart w:id="7" w:name="_Toc3360"/>
      <w:r>
        <w:fldChar w:fldCharType="begin"/>
      </w:r>
      <w:r>
        <w:rPr>
          <w:rFonts w:hint="eastAsia" w:ascii="方正仿宋_GBK" w:hAnsi="方正仿宋_GBK" w:eastAsia="方正仿宋_GBK" w:cs="方正仿宋_GBK"/>
          <w:b/>
          <w:sz w:val="28"/>
          <w:u w:val="none"/>
          <w:lang w:eastAsia="zh-CN"/>
        </w:rPr>
        <w:instrText xml:space="preserve"> TC 4、创业担保贷款担保基金县配套绩效目标表 \f C \l 1 </w:instrText>
      </w:r>
      <w:r>
        <w:rPr>
          <w:rFonts w:hint="eastAsia" w:ascii="方正仿宋_GBK" w:hAnsi="方正仿宋_GBK" w:eastAsia="方正仿宋_GBK" w:cs="方正仿宋_GBK"/>
          <w:b/>
          <w:sz w:val="28"/>
          <w:u w:val="none"/>
          <w:lang w:eastAsia="zh-CN"/>
        </w:rPr>
        <w:fldChar w:fldCharType="end"/>
      </w:r>
      <w:bookmarkEnd w:id="7"/>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316-0101-JXN-4IGA</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创业担保贷款担保基金县配套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发放创业担保贷款，按规定补充创业担保贷款担保基金。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1、补充创业担保贷款担保基金。</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2、发放创业担保贷款</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补充担保基金</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补充担保基金</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补充担保基金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为申请人发放创业担保贷款</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未申请人发放创业担保贷款</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未申请人发放创业担保贷款</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为全部申请人发放创业担保贷款，满足贷款人需求</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发放创业担保贷款，满足贷款人需求</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发放创业担保贷款，满足贷款人需求</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为全部申请人发放创业担保贷款，满足贷款人需求</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发放创业担保贷款，满足贷款人需求</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发放创业担保贷款，满足贷款人需求</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5、创业担保贷款贴息资金县配套绩效目标表</w:t>
      </w:r>
      <w:bookmarkStart w:id="8" w:name="_Toc21743"/>
      <w:r>
        <w:fldChar w:fldCharType="begin"/>
      </w:r>
      <w:r>
        <w:rPr>
          <w:rFonts w:hint="eastAsia" w:ascii="方正仿宋_GBK" w:hAnsi="方正仿宋_GBK" w:eastAsia="方正仿宋_GBK" w:cs="方正仿宋_GBK"/>
          <w:b/>
          <w:sz w:val="28"/>
          <w:u w:val="none"/>
          <w:lang w:eastAsia="zh-CN"/>
        </w:rPr>
        <w:instrText xml:space="preserve"> TC 5、创业担保贷款贴息资金县配套绩效目标表 \f C \l 1 </w:instrText>
      </w:r>
      <w:r>
        <w:rPr>
          <w:rFonts w:hint="eastAsia" w:ascii="方正仿宋_GBK" w:hAnsi="方正仿宋_GBK" w:eastAsia="方正仿宋_GBK" w:cs="方正仿宋_GBK"/>
          <w:b/>
          <w:sz w:val="28"/>
          <w:u w:val="none"/>
          <w:lang w:eastAsia="zh-CN"/>
        </w:rPr>
        <w:fldChar w:fldCharType="end"/>
      </w:r>
      <w:bookmarkEnd w:id="8"/>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316-0101-JXN-Z2T5</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创业担保贷款贴息资金县配套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发放创业担保贷款，按规定为贷款人贴息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1、创业担保贷款贴息</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2、发放创业担保贷款，满足贷款人需求</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为全部申请人发放创业担保贷款，满足贷款人需求</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发放创业担保贷款，满足贷款人需求</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为全部申请人发放创业担保贷款，满足贷款人需求</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发放创业担保贷款，满足贷款人需求</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6、档案管理费绩效目标表</w:t>
      </w:r>
      <w:bookmarkStart w:id="9" w:name="_Toc30044"/>
      <w:r>
        <w:fldChar w:fldCharType="begin"/>
      </w:r>
      <w:r>
        <w:rPr>
          <w:rFonts w:hint="eastAsia" w:ascii="方正仿宋_GBK" w:hAnsi="方正仿宋_GBK" w:eastAsia="方正仿宋_GBK" w:cs="方正仿宋_GBK"/>
          <w:b/>
          <w:sz w:val="28"/>
          <w:u w:val="none"/>
          <w:lang w:eastAsia="zh-CN"/>
        </w:rPr>
        <w:instrText xml:space="preserve"> TC 6、档案管理费绩效目标表 \f C \l 1 </w:instrText>
      </w:r>
      <w:r>
        <w:rPr>
          <w:rFonts w:hint="eastAsia" w:ascii="方正仿宋_GBK" w:hAnsi="方正仿宋_GBK" w:eastAsia="方正仿宋_GBK" w:cs="方正仿宋_GBK"/>
          <w:b/>
          <w:sz w:val="28"/>
          <w:u w:val="none"/>
          <w:lang w:eastAsia="zh-CN"/>
        </w:rPr>
        <w:fldChar w:fldCharType="end"/>
      </w:r>
      <w:bookmarkEnd w:id="9"/>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316-0701-JXN-6I55</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档案管理费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档案管理费工作支出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1、档案管理费工作支出</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2、整理存放档案</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7、扶贫资金/冀财社[2019]122号/2020年中央就业补助资金绩效目标表</w:t>
      </w:r>
      <w:bookmarkStart w:id="10" w:name="_Toc11901"/>
      <w:r>
        <w:fldChar w:fldCharType="begin"/>
      </w:r>
      <w:r>
        <w:rPr>
          <w:rFonts w:hint="eastAsia" w:ascii="方正仿宋_GBK" w:hAnsi="方正仿宋_GBK" w:eastAsia="方正仿宋_GBK" w:cs="方正仿宋_GBK"/>
          <w:b/>
          <w:sz w:val="28"/>
          <w:u w:val="none"/>
          <w:lang w:eastAsia="zh-CN"/>
        </w:rPr>
        <w:instrText xml:space="preserve"> TC 7、扶贫资金/冀财社[2019]122号/2020年中央就业补助资金绩效目标表 \f C \l 1 </w:instrText>
      </w:r>
      <w:r>
        <w:rPr>
          <w:rFonts w:hint="eastAsia" w:ascii="方正仿宋_GBK" w:hAnsi="方正仿宋_GBK" w:eastAsia="方正仿宋_GBK" w:cs="方正仿宋_GBK"/>
          <w:b/>
          <w:sz w:val="28"/>
          <w:u w:val="none"/>
          <w:lang w:eastAsia="zh-CN"/>
        </w:rPr>
        <w:fldChar w:fldCharType="end"/>
      </w:r>
      <w:bookmarkEnd w:id="10"/>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316-0101-JXN-RVG7</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扶贫资金/冀财社[2019]122号/2020年中央就业补助资金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11800000.00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11800000.00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各项补贴及时到位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1、经审核符合领取公益性岗位补贴条件的公益性岗位补贴发放</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2、经审核符合领取社会保险补贴条件的各类人员社会保险补贴发放</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公益性岗位补贴到位率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经审核符合领取公益性岗位补贴条件的公益性岗位补贴发放率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社会保险补贴到位率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经审核符合领取社会保险补贴条件的各类人员社会保险补贴发放率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补贴发放率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经审核符合领取补贴条件的各类人员补贴发放率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经审核符合公岗人员的公共就业服务满意度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8、扶贫资金/冀财社[2019]99号/2020年省级就业补助资金绩效目标表</w:t>
      </w:r>
      <w:bookmarkStart w:id="11" w:name="_Toc28174"/>
      <w:r>
        <w:fldChar w:fldCharType="begin"/>
      </w:r>
      <w:r>
        <w:rPr>
          <w:rFonts w:hint="eastAsia" w:ascii="方正仿宋_GBK" w:hAnsi="方正仿宋_GBK" w:eastAsia="方正仿宋_GBK" w:cs="方正仿宋_GBK"/>
          <w:b/>
          <w:sz w:val="28"/>
          <w:u w:val="none"/>
          <w:lang w:eastAsia="zh-CN"/>
        </w:rPr>
        <w:instrText xml:space="preserve"> TC 8、扶贫资金/冀财社[2019]99号/2020年省级就业补助资金绩效目标表 \f C \l 1 </w:instrText>
      </w:r>
      <w:r>
        <w:rPr>
          <w:rFonts w:hint="eastAsia" w:ascii="方正仿宋_GBK" w:hAnsi="方正仿宋_GBK" w:eastAsia="方正仿宋_GBK" w:cs="方正仿宋_GBK"/>
          <w:b/>
          <w:sz w:val="28"/>
          <w:u w:val="none"/>
          <w:lang w:eastAsia="zh-CN"/>
        </w:rPr>
        <w:fldChar w:fldCharType="end"/>
      </w:r>
      <w:bookmarkEnd w:id="11"/>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316-0101-JXN-QRQR</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扶贫资金/冀财社[2019]99号/2020年省级就业补助资金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1400000.00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1400000.00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各项补贴及时到位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1、经审核符合领取公益性岗位补贴条件的公益性岗位补贴发放</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2、经审核符合领取社会保险补贴条件的各类人员社会保险补贴发放</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公益性岗位补贴到位率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经审核符合领取公益性岗位补贴条件的公益性岗位补贴发放率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社会保险补贴到位率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经审核符合领取社会保险补贴条件的各类人员社会保险补贴发放率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补贴发放率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经审核符合领取补贴条件的各类人员补贴发放率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公共就业服务满意度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9、扶贫资金/冀财社[2019]99号/2020年省级就业补助资金（发展家庭服务业师范基地建设项目）绩效目标表</w:t>
      </w:r>
      <w:bookmarkStart w:id="12" w:name="_Toc32747"/>
      <w:r>
        <w:fldChar w:fldCharType="begin"/>
      </w:r>
      <w:r>
        <w:rPr>
          <w:rFonts w:hint="eastAsia" w:ascii="方正仿宋_GBK" w:hAnsi="方正仿宋_GBK" w:eastAsia="方正仿宋_GBK" w:cs="方正仿宋_GBK"/>
          <w:b/>
          <w:sz w:val="28"/>
          <w:u w:val="none"/>
          <w:lang w:eastAsia="zh-CN"/>
        </w:rPr>
        <w:instrText xml:space="preserve"> TC 9、扶贫资金/冀财社[2019]99号/2020年省级就业补助资金（发展家庭服务业师范基地建设项目）绩效目标表 \f C \l 1 </w:instrText>
      </w:r>
      <w:r>
        <w:rPr>
          <w:rFonts w:hint="eastAsia" w:ascii="方正仿宋_GBK" w:hAnsi="方正仿宋_GBK" w:eastAsia="方正仿宋_GBK" w:cs="方正仿宋_GBK"/>
          <w:b/>
          <w:sz w:val="28"/>
          <w:u w:val="none"/>
          <w:lang w:eastAsia="zh-CN"/>
        </w:rPr>
        <w:fldChar w:fldCharType="end"/>
      </w:r>
      <w:bookmarkEnd w:id="12"/>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316-0103-JXN-N20U</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扶贫资金/冀财社[2019]99号/2020年省级就业补助资金（发展家庭服务业师范基地建设项目）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545000.00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545000.00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发展家庭服务业师范基地建设项目培训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1、经审核符合发展家庭服务业师范基地建设项目培训</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2、经审核符合经审核符合发展家庭服务业师范基地建设项目培训补贴发放</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职业培训补贴发放准确率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经审核符合领取职业培训补贴发放准确率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≥96</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资金在规定时间内下达率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资金在规定时间内下达率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零就业家庭帮扶率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零就业家庭帮扶率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≥96</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公共就业服务满意度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10、扶贫资金/就业扶贫专岗绩效目标表</w:t>
      </w:r>
      <w:bookmarkStart w:id="13" w:name="_Toc25686"/>
      <w:r>
        <w:fldChar w:fldCharType="begin"/>
      </w:r>
      <w:r>
        <w:rPr>
          <w:rFonts w:hint="eastAsia" w:ascii="方正仿宋_GBK" w:hAnsi="方正仿宋_GBK" w:eastAsia="方正仿宋_GBK" w:cs="方正仿宋_GBK"/>
          <w:b/>
          <w:sz w:val="28"/>
          <w:u w:val="none"/>
          <w:lang w:eastAsia="zh-CN"/>
        </w:rPr>
        <w:instrText xml:space="preserve"> TC 10、扶贫资金/就业扶贫专岗绩效目标表 \f C \l 1 </w:instrText>
      </w:r>
      <w:r>
        <w:rPr>
          <w:rFonts w:hint="eastAsia" w:ascii="方正仿宋_GBK" w:hAnsi="方正仿宋_GBK" w:eastAsia="方正仿宋_GBK" w:cs="方正仿宋_GBK"/>
          <w:b/>
          <w:sz w:val="28"/>
          <w:u w:val="none"/>
          <w:lang w:eastAsia="zh-CN"/>
        </w:rPr>
        <w:fldChar w:fldCharType="end"/>
      </w:r>
      <w:bookmarkEnd w:id="13"/>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316-0101-JXN-GQM4</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扶贫资金/就业扶贫专岗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1220000.00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1220000.00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就业扶贫专岗补贴及时足额发放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1、就业扶贫专岗补贴足额发放</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2、就业扶贫专岗补贴及时发放</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就业扶贫专岗补贴到位率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经审核符合领取就业扶贫专岗补贴发放率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就业扶贫专岗补贴及时率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经审核符合领取就业扶贫专岗补贴及时发放率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就业扶贫专岗人员满意度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就业扶贫专岗人员满意度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补贴发放率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经审核符合领取补贴条件的各类人员补贴发放率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11、扶贫资金/贫困劳动力异地培训食宿和交通补贴绩效目标表</w:t>
      </w:r>
      <w:bookmarkStart w:id="14" w:name="_Toc1534"/>
      <w:r>
        <w:fldChar w:fldCharType="begin"/>
      </w:r>
      <w:r>
        <w:rPr>
          <w:rFonts w:hint="eastAsia" w:ascii="方正仿宋_GBK" w:hAnsi="方正仿宋_GBK" w:eastAsia="方正仿宋_GBK" w:cs="方正仿宋_GBK"/>
          <w:b/>
          <w:sz w:val="28"/>
          <w:u w:val="none"/>
          <w:lang w:eastAsia="zh-CN"/>
        </w:rPr>
        <w:instrText xml:space="preserve"> TC 11、扶贫资金/贫困劳动力异地培训食宿和交通补贴绩效目标表 \f C \l 1 </w:instrText>
      </w:r>
      <w:r>
        <w:rPr>
          <w:rFonts w:hint="eastAsia" w:ascii="方正仿宋_GBK" w:hAnsi="方正仿宋_GBK" w:eastAsia="方正仿宋_GBK" w:cs="方正仿宋_GBK"/>
          <w:b/>
          <w:sz w:val="28"/>
          <w:u w:val="none"/>
          <w:lang w:eastAsia="zh-CN"/>
        </w:rPr>
        <w:fldChar w:fldCharType="end"/>
      </w:r>
      <w:bookmarkEnd w:id="14"/>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316-0101-JXN-N6I7</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扶贫资金/贫困劳动力异地培训食宿和交通补贴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及时足额拨付贫困劳动力异地培训食宿和交通补贴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1、及时足额拨付贫困劳动力异地培训食宿</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2、及时足额拨付贫困劳动力异地培训交通补贴</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贫困劳动力异地培训交通补贴到位率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经审核符合领取贫困劳动力异地培训交通补贴发放率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≥090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贫困劳动力异地培训食宿补贴</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到位率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经审核符合领取贫困劳动力异地培训食宿补贴发放率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≥090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贫困劳动力异地培训人员满意度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贫困劳动力异地培训人员满意度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≥090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贫困劳动力异地培训人员满意度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≥090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12、扶贫资金/再就业专项绩效目标表</w:t>
      </w:r>
      <w:bookmarkStart w:id="15" w:name="_Toc7547"/>
      <w:r>
        <w:fldChar w:fldCharType="begin"/>
      </w:r>
      <w:r>
        <w:rPr>
          <w:rFonts w:hint="eastAsia" w:ascii="方正仿宋_GBK" w:hAnsi="方正仿宋_GBK" w:eastAsia="方正仿宋_GBK" w:cs="方正仿宋_GBK"/>
          <w:b/>
          <w:sz w:val="28"/>
          <w:u w:val="none"/>
          <w:lang w:eastAsia="zh-CN"/>
        </w:rPr>
        <w:instrText xml:space="preserve"> TC 12、扶贫资金/再就业专项绩效目标表 \f C \l 1 </w:instrText>
      </w:r>
      <w:r>
        <w:rPr>
          <w:rFonts w:hint="eastAsia" w:ascii="方正仿宋_GBK" w:hAnsi="方正仿宋_GBK" w:eastAsia="方正仿宋_GBK" w:cs="方正仿宋_GBK"/>
          <w:b/>
          <w:sz w:val="28"/>
          <w:u w:val="none"/>
          <w:lang w:eastAsia="zh-CN"/>
        </w:rPr>
        <w:fldChar w:fldCharType="end"/>
      </w:r>
      <w:bookmarkEnd w:id="15"/>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316-0101-JXN-34MF</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扶贫资金/再就业专项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3500000.00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各项补贴及时到位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1、经审核符合领取公益性岗位补贴条件的公益性岗位补贴发放</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2、经审核符合领取社会保险补贴条件的各类人员社会保险补贴发放</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公益性岗位补贴到位率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经审核符合领取公益性岗位补贴条件的公益性岗位补贴发放率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社会保险补贴到位率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经审核符合领取社会保险补贴条件的各类人员社会保险补贴发放率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补贴发放率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经审核符合领取补贴条件的各类人员补贴发放率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经审核符合公岗人员的公共就业服务满意度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13、冀财金[2019]53号/中央普惠金融发展专项资金（创业担保贷款贴息）绩效目标表</w:t>
      </w:r>
      <w:bookmarkStart w:id="16" w:name="_Toc26130"/>
      <w:r>
        <w:fldChar w:fldCharType="begin"/>
      </w:r>
      <w:r>
        <w:rPr>
          <w:rFonts w:hint="eastAsia" w:ascii="方正仿宋_GBK" w:hAnsi="方正仿宋_GBK" w:eastAsia="方正仿宋_GBK" w:cs="方正仿宋_GBK"/>
          <w:b/>
          <w:sz w:val="28"/>
          <w:u w:val="none"/>
          <w:lang w:eastAsia="zh-CN"/>
        </w:rPr>
        <w:instrText xml:space="preserve"> TC 13、冀财金[2019]53号/中央普惠金融发展专项资金（创业担保贷款贴息）绩效目标表 \f C \l 1 </w:instrText>
      </w:r>
      <w:r>
        <w:rPr>
          <w:rFonts w:hint="eastAsia" w:ascii="方正仿宋_GBK" w:hAnsi="方正仿宋_GBK" w:eastAsia="方正仿宋_GBK" w:cs="方正仿宋_GBK"/>
          <w:b/>
          <w:sz w:val="28"/>
          <w:u w:val="none"/>
          <w:lang w:eastAsia="zh-CN"/>
        </w:rPr>
        <w:fldChar w:fldCharType="end"/>
      </w:r>
      <w:bookmarkEnd w:id="16"/>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316-0101-JXN-7V8X</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冀财金[2019]53号/中央普惠金融发展专项资金（创业担保贷款贴息）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320000.00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320000.00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发放创业担保贷款，按规定为贷款人贴息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1、创业担保贷款贴息</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2、发放创业担保贷款，满足贷款人需求</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为全部申请人发放创业担保贷款，满足贷款人需求</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发放创业担保贷款，满足贷款人需求</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为全部申请人发放创业担保贷款，满足贷款人需求</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发放创业担保贷款，满足贷款人需求</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14、冀财社[2019]106号/2020年城乡养老和就业公共服务村级代办员补助资金绩效目标表</w:t>
      </w:r>
      <w:bookmarkStart w:id="17" w:name="_Toc4566"/>
      <w:r>
        <w:fldChar w:fldCharType="begin"/>
      </w:r>
      <w:r>
        <w:rPr>
          <w:rFonts w:hint="eastAsia" w:ascii="方正仿宋_GBK" w:hAnsi="方正仿宋_GBK" w:eastAsia="方正仿宋_GBK" w:cs="方正仿宋_GBK"/>
          <w:b/>
          <w:sz w:val="28"/>
          <w:u w:val="none"/>
          <w:lang w:eastAsia="zh-CN"/>
        </w:rPr>
        <w:instrText xml:space="preserve"> TC 14、冀财社[2019]106号/2020年城乡养老和就业公共服务村级代办员补助资金绩效目标表 \f C \l 1 </w:instrText>
      </w:r>
      <w:r>
        <w:rPr>
          <w:rFonts w:hint="eastAsia" w:ascii="方正仿宋_GBK" w:hAnsi="方正仿宋_GBK" w:eastAsia="方正仿宋_GBK" w:cs="方正仿宋_GBK"/>
          <w:b/>
          <w:sz w:val="28"/>
          <w:u w:val="none"/>
          <w:lang w:eastAsia="zh-CN"/>
        </w:rPr>
        <w:fldChar w:fldCharType="end"/>
      </w:r>
      <w:bookmarkEnd w:id="17"/>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316-0102-JXN-1V58</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冀财社[2019]106号/2020年城乡养老和就业公共服务村级代办员补助资金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150000.00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150000.00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稳步提高城乡养老保险参保率，调动协办员积极性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1、稳步提高城乡养老保险参保率</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2、调动协办员积极性</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基本养老保险参保率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按年度扩面任务，已参保人数占应参保人数的比例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≥95</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调动协办员积极性</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调动协办员积极性</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群众满意率求</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15、劳动监察绩效目标表</w:t>
      </w:r>
      <w:bookmarkStart w:id="18" w:name="_Toc9694"/>
      <w:r>
        <w:fldChar w:fldCharType="begin"/>
      </w:r>
      <w:r>
        <w:rPr>
          <w:rFonts w:hint="eastAsia" w:ascii="方正仿宋_GBK" w:hAnsi="方正仿宋_GBK" w:eastAsia="方正仿宋_GBK" w:cs="方正仿宋_GBK"/>
          <w:b/>
          <w:sz w:val="28"/>
          <w:u w:val="none"/>
          <w:lang w:eastAsia="zh-CN"/>
        </w:rPr>
        <w:instrText xml:space="preserve"> TC 15、劳动监察绩效目标表 \f C \l 1 </w:instrText>
      </w:r>
      <w:r>
        <w:rPr>
          <w:rFonts w:hint="eastAsia" w:ascii="方正仿宋_GBK" w:hAnsi="方正仿宋_GBK" w:eastAsia="方正仿宋_GBK" w:cs="方正仿宋_GBK"/>
          <w:b/>
          <w:sz w:val="28"/>
          <w:u w:val="none"/>
          <w:lang w:eastAsia="zh-CN"/>
        </w:rPr>
        <w:fldChar w:fldCharType="end"/>
      </w:r>
      <w:bookmarkEnd w:id="18"/>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316-0603-JXN-MADO</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劳动监察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劳动监察事务管理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1、劳动监察事务管理</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2、欠薪追讨</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16、劳动仲裁绩效目标表</w:t>
      </w:r>
      <w:bookmarkStart w:id="19" w:name="_Toc27643"/>
      <w:r>
        <w:fldChar w:fldCharType="begin"/>
      </w:r>
      <w:r>
        <w:rPr>
          <w:rFonts w:hint="eastAsia" w:ascii="方正仿宋_GBK" w:hAnsi="方正仿宋_GBK" w:eastAsia="方正仿宋_GBK" w:cs="方正仿宋_GBK"/>
          <w:b/>
          <w:sz w:val="28"/>
          <w:u w:val="none"/>
          <w:lang w:eastAsia="zh-CN"/>
        </w:rPr>
        <w:instrText xml:space="preserve"> TC 16、劳动仲裁绩效目标表 \f C \l 1 </w:instrText>
      </w:r>
      <w:r>
        <w:rPr>
          <w:rFonts w:hint="eastAsia" w:ascii="方正仿宋_GBK" w:hAnsi="方正仿宋_GBK" w:eastAsia="方正仿宋_GBK" w:cs="方正仿宋_GBK"/>
          <w:b/>
          <w:sz w:val="28"/>
          <w:u w:val="none"/>
          <w:lang w:eastAsia="zh-CN"/>
        </w:rPr>
        <w:fldChar w:fldCharType="end"/>
      </w:r>
      <w:bookmarkEnd w:id="19"/>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316-0602-JXN-5L1U</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劳动仲裁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劳动仲裁工作经费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1、劳动仲裁工作经费</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2、劳动仲裁案件调解</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17、隆尧县人力资源和社会保障综合服务中心和县交运局供电项目绩效目标表</w:t>
      </w:r>
      <w:bookmarkStart w:id="20" w:name="_Toc31354"/>
      <w:r>
        <w:fldChar w:fldCharType="begin"/>
      </w:r>
      <w:r>
        <w:rPr>
          <w:rFonts w:hint="eastAsia" w:ascii="方正仿宋_GBK" w:hAnsi="方正仿宋_GBK" w:eastAsia="方正仿宋_GBK" w:cs="方正仿宋_GBK"/>
          <w:b/>
          <w:sz w:val="28"/>
          <w:u w:val="none"/>
          <w:lang w:eastAsia="zh-CN"/>
        </w:rPr>
        <w:instrText xml:space="preserve"> TC 17、隆尧县人力资源和社会保障综合服务中心和县交运局供电项目绩效目标表 \f C \l 1 </w:instrText>
      </w:r>
      <w:r>
        <w:rPr>
          <w:rFonts w:hint="eastAsia" w:ascii="方正仿宋_GBK" w:hAnsi="方正仿宋_GBK" w:eastAsia="方正仿宋_GBK" w:cs="方正仿宋_GBK"/>
          <w:b/>
          <w:sz w:val="28"/>
          <w:u w:val="none"/>
          <w:lang w:eastAsia="zh-CN"/>
        </w:rPr>
        <w:fldChar w:fldCharType="end"/>
      </w:r>
      <w:bookmarkEnd w:id="20"/>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316-0701-YXN-G9CE</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隆尧县人力资源和社会保障综合服务中心和县交运局供电项目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743290.00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743290.00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隆尧县人力资源和社会保障综合服务中心和隆尧县交通运输局综合执法服务中心联建供电项目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1、隆尧县人力资源和社会保障综合服务中心和隆尧县交通运输局综合执法服务中心联建供电项目</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2、隆尧县人力资源和社会保障综合服务中心和隆尧县交通运输局综合执法服务中心联建供电项目</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18、隆尧县人力资源和社会保障综合服务中心和县交运局联建项目采暖工程绩效目标表</w:t>
      </w:r>
      <w:bookmarkStart w:id="21" w:name="_Toc13864"/>
      <w:r>
        <w:fldChar w:fldCharType="begin"/>
      </w:r>
      <w:r>
        <w:rPr>
          <w:rFonts w:hint="eastAsia" w:ascii="方正仿宋_GBK" w:hAnsi="方正仿宋_GBK" w:eastAsia="方正仿宋_GBK" w:cs="方正仿宋_GBK"/>
          <w:b/>
          <w:sz w:val="28"/>
          <w:u w:val="none"/>
          <w:lang w:eastAsia="zh-CN"/>
        </w:rPr>
        <w:instrText xml:space="preserve"> TC 18、隆尧县人力资源和社会保障综合服务中心和县交运局联建项目采暖工程绩效目标表 \f C \l 1 </w:instrText>
      </w:r>
      <w:r>
        <w:rPr>
          <w:rFonts w:hint="eastAsia" w:ascii="方正仿宋_GBK" w:hAnsi="方正仿宋_GBK" w:eastAsia="方正仿宋_GBK" w:cs="方正仿宋_GBK"/>
          <w:b/>
          <w:sz w:val="28"/>
          <w:u w:val="none"/>
          <w:lang w:eastAsia="zh-CN"/>
        </w:rPr>
        <w:fldChar w:fldCharType="end"/>
      </w:r>
      <w:bookmarkEnd w:id="21"/>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316-0701-YXN-WVBL</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隆尧县人力资源和社会保障综合服务中心和县交运局联建项目采暖工程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642000.00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642000.00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隆尧县人力资源和社会保障综合服务中心和县交通运输局综合执法服务中心联建项目采暖工程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1、隆尧县人力资源和社会保障综合服务中心和县交通运输局综合执法服务中心联建项目采暖工程</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2、隆尧县人力资源和社会保障综合服务中心和县交通运输局综合执法服务中心联建项目采暖工程</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19、隆尧县人力资源和社会保障综合服务中心和县交运局项目-网络综合布线绩效目标表</w:t>
      </w:r>
      <w:bookmarkStart w:id="22" w:name="_Toc28811"/>
      <w:r>
        <w:fldChar w:fldCharType="begin"/>
      </w:r>
      <w:r>
        <w:rPr>
          <w:rFonts w:hint="eastAsia" w:ascii="方正仿宋_GBK" w:hAnsi="方正仿宋_GBK" w:eastAsia="方正仿宋_GBK" w:cs="方正仿宋_GBK"/>
          <w:b/>
          <w:sz w:val="28"/>
          <w:u w:val="none"/>
          <w:lang w:eastAsia="zh-CN"/>
        </w:rPr>
        <w:instrText xml:space="preserve"> TC 19、隆尧县人力资源和社会保障综合服务中心和县交运局项目-网络综合布线绩效目标表 \f C \l 1 </w:instrText>
      </w:r>
      <w:r>
        <w:rPr>
          <w:rFonts w:hint="eastAsia" w:ascii="方正仿宋_GBK" w:hAnsi="方正仿宋_GBK" w:eastAsia="方正仿宋_GBK" w:cs="方正仿宋_GBK"/>
          <w:b/>
          <w:sz w:val="28"/>
          <w:u w:val="none"/>
          <w:lang w:eastAsia="zh-CN"/>
        </w:rPr>
        <w:fldChar w:fldCharType="end"/>
      </w:r>
      <w:bookmarkEnd w:id="22"/>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316-0701-YXN-UAZG</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隆尧县人力资源和社会保障综合服务中心和县交运局项目-网络综合布线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195000.00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195000.00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隆尧县人力资源和社会保障综合服务中心和县交通运输局综合执法服务中心项目-网络综合布线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1、隆尧县人力资源和社会保障综合服务中心和县交通运输局综合执法服务中心项目-网络综合布线</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2、隆尧县人力资源和社会保障综合服务中心和县交通运输局综合执法服务中心项目-网络综合布线</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20、人保网建设绩效目标表</w:t>
      </w:r>
      <w:bookmarkStart w:id="23" w:name="_Toc20556"/>
      <w:r>
        <w:fldChar w:fldCharType="begin"/>
      </w:r>
      <w:r>
        <w:rPr>
          <w:rFonts w:hint="eastAsia" w:ascii="方正仿宋_GBK" w:hAnsi="方正仿宋_GBK" w:eastAsia="方正仿宋_GBK" w:cs="方正仿宋_GBK"/>
          <w:b/>
          <w:sz w:val="28"/>
          <w:u w:val="none"/>
          <w:lang w:eastAsia="zh-CN"/>
        </w:rPr>
        <w:instrText xml:space="preserve"> TC 20、人保网建设绩效目标表 \f C \l 1 </w:instrText>
      </w:r>
      <w:r>
        <w:rPr>
          <w:rFonts w:hint="eastAsia" w:ascii="方正仿宋_GBK" w:hAnsi="方正仿宋_GBK" w:eastAsia="方正仿宋_GBK" w:cs="方正仿宋_GBK"/>
          <w:b/>
          <w:sz w:val="28"/>
          <w:u w:val="none"/>
          <w:lang w:eastAsia="zh-CN"/>
        </w:rPr>
        <w:fldChar w:fldCharType="end"/>
      </w:r>
      <w:bookmarkEnd w:id="23"/>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316-0701-JXN-C3HG</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人保网建设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人保网建设工作经费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1、人保网建设工作经费</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2、办公日常用电</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21、人力资源培训绩效目标表</w:t>
      </w:r>
      <w:bookmarkStart w:id="24" w:name="_Toc16054"/>
      <w:r>
        <w:fldChar w:fldCharType="begin"/>
      </w:r>
      <w:r>
        <w:rPr>
          <w:rFonts w:hint="eastAsia" w:ascii="方正仿宋_GBK" w:hAnsi="方正仿宋_GBK" w:eastAsia="方正仿宋_GBK" w:cs="方正仿宋_GBK"/>
          <w:b/>
          <w:sz w:val="28"/>
          <w:u w:val="none"/>
          <w:lang w:eastAsia="zh-CN"/>
        </w:rPr>
        <w:instrText xml:space="preserve"> TC 21、人力资源培训绩效目标表 \f C \l 1 </w:instrText>
      </w:r>
      <w:r>
        <w:rPr>
          <w:rFonts w:hint="eastAsia" w:ascii="方正仿宋_GBK" w:hAnsi="方正仿宋_GBK" w:eastAsia="方正仿宋_GBK" w:cs="方正仿宋_GBK"/>
          <w:b/>
          <w:sz w:val="28"/>
          <w:u w:val="none"/>
          <w:lang w:eastAsia="zh-CN"/>
        </w:rPr>
        <w:fldChar w:fldCharType="end"/>
      </w:r>
      <w:bookmarkEnd w:id="24"/>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316-0701-JXN-U0N3</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人力资源培训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人力资源培训工作支出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1、完成人力资源培训工作</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2、人力资源培训工作支出</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22、人社局搬迁费绩效目标表</w:t>
      </w:r>
      <w:bookmarkStart w:id="25" w:name="_Toc23331"/>
      <w:r>
        <w:fldChar w:fldCharType="begin"/>
      </w:r>
      <w:r>
        <w:rPr>
          <w:rFonts w:hint="eastAsia" w:ascii="方正仿宋_GBK" w:hAnsi="方正仿宋_GBK" w:eastAsia="方正仿宋_GBK" w:cs="方正仿宋_GBK"/>
          <w:b/>
          <w:sz w:val="28"/>
          <w:u w:val="none"/>
          <w:lang w:eastAsia="zh-CN"/>
        </w:rPr>
        <w:instrText xml:space="preserve"> TC 22、人社局搬迁费绩效目标表 \f C \l 1 </w:instrText>
      </w:r>
      <w:r>
        <w:rPr>
          <w:rFonts w:hint="eastAsia" w:ascii="方正仿宋_GBK" w:hAnsi="方正仿宋_GBK" w:eastAsia="方正仿宋_GBK" w:cs="方正仿宋_GBK"/>
          <w:b/>
          <w:sz w:val="28"/>
          <w:u w:val="none"/>
          <w:lang w:eastAsia="zh-CN"/>
        </w:rPr>
        <w:fldChar w:fldCharType="end"/>
      </w:r>
      <w:bookmarkEnd w:id="25"/>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316-0701-YXN-XQFM</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人社局搬迁费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人社局搬迁费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1、完成人社局搬迁工作</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2、及时完成搬迁工作</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23、人社局搬迁费/隆尧县人力资源和社会保障综合服务中心办公家具及设备采购绩效目标表</w:t>
      </w:r>
      <w:bookmarkStart w:id="26" w:name="_Toc23757"/>
      <w:r>
        <w:fldChar w:fldCharType="begin"/>
      </w:r>
      <w:r>
        <w:rPr>
          <w:rFonts w:hint="eastAsia" w:ascii="方正仿宋_GBK" w:hAnsi="方正仿宋_GBK" w:eastAsia="方正仿宋_GBK" w:cs="方正仿宋_GBK"/>
          <w:b/>
          <w:sz w:val="28"/>
          <w:u w:val="none"/>
          <w:lang w:eastAsia="zh-CN"/>
        </w:rPr>
        <w:instrText xml:space="preserve"> TC 23、人社局搬迁费/隆尧县人力资源和社会保障综合服务中心办公家具及设备采购绩效目标表 \f C \l 1 </w:instrText>
      </w:r>
      <w:r>
        <w:rPr>
          <w:rFonts w:hint="eastAsia" w:ascii="方正仿宋_GBK" w:hAnsi="方正仿宋_GBK" w:eastAsia="方正仿宋_GBK" w:cs="方正仿宋_GBK"/>
          <w:b/>
          <w:sz w:val="28"/>
          <w:u w:val="none"/>
          <w:lang w:eastAsia="zh-CN"/>
        </w:rPr>
        <w:fldChar w:fldCharType="end"/>
      </w:r>
      <w:bookmarkEnd w:id="26"/>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316-0701-YXN-L2P8</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人社局搬迁费/隆尧县人力资源和社会保障综合服务中心办公家具及设备采购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834960.00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834960.00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人社局搬迁费/隆尧县人力资源和社会保障综合服务中心办公家具及设备采购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1、人社局搬迁费/隆尧县人力资源和社会保障综合服务中心办公家具采购</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2、人社局搬迁费/隆尧县人力资源和社会保障综合服务中心设备采购</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24、事业单位招聘绩效目标表</w:t>
      </w:r>
      <w:bookmarkStart w:id="27" w:name="_Toc26927"/>
      <w:r>
        <w:fldChar w:fldCharType="begin"/>
      </w:r>
      <w:r>
        <w:rPr>
          <w:rFonts w:hint="eastAsia" w:ascii="方正仿宋_GBK" w:hAnsi="方正仿宋_GBK" w:eastAsia="方正仿宋_GBK" w:cs="方正仿宋_GBK"/>
          <w:b/>
          <w:sz w:val="28"/>
          <w:u w:val="none"/>
          <w:lang w:eastAsia="zh-CN"/>
        </w:rPr>
        <w:instrText xml:space="preserve"> TC 24、事业单位招聘绩效目标表 \f C \l 1 </w:instrText>
      </w:r>
      <w:r>
        <w:rPr>
          <w:rFonts w:hint="eastAsia" w:ascii="方正仿宋_GBK" w:hAnsi="方正仿宋_GBK" w:eastAsia="方正仿宋_GBK" w:cs="方正仿宋_GBK"/>
          <w:b/>
          <w:sz w:val="28"/>
          <w:u w:val="none"/>
          <w:lang w:eastAsia="zh-CN"/>
        </w:rPr>
        <w:fldChar w:fldCharType="end"/>
      </w:r>
      <w:bookmarkEnd w:id="27"/>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316-0402-JXN-FDB9</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事业单位招聘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事业单位招聘工作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1、完成事业单位招聘报名工作</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2、完成事业单位招聘考录工作</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25、事业人员考核奖惩绩效目标表</w:t>
      </w:r>
      <w:bookmarkStart w:id="28" w:name="_Toc3416"/>
      <w:r>
        <w:fldChar w:fldCharType="begin"/>
      </w:r>
      <w:r>
        <w:rPr>
          <w:rFonts w:hint="eastAsia" w:ascii="方正仿宋_GBK" w:hAnsi="方正仿宋_GBK" w:eastAsia="方正仿宋_GBK" w:cs="方正仿宋_GBK"/>
          <w:b/>
          <w:sz w:val="28"/>
          <w:u w:val="none"/>
          <w:lang w:eastAsia="zh-CN"/>
        </w:rPr>
        <w:instrText xml:space="preserve"> TC 25、事业人员考核奖惩绩效目标表 \f C \l 1 </w:instrText>
      </w:r>
      <w:r>
        <w:rPr>
          <w:rFonts w:hint="eastAsia" w:ascii="方正仿宋_GBK" w:hAnsi="方正仿宋_GBK" w:eastAsia="方正仿宋_GBK" w:cs="方正仿宋_GBK"/>
          <w:b/>
          <w:sz w:val="28"/>
          <w:u w:val="none"/>
          <w:lang w:eastAsia="zh-CN"/>
        </w:rPr>
        <w:fldChar w:fldCharType="end"/>
      </w:r>
      <w:bookmarkEnd w:id="28"/>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316-0402-JXN-ASM4</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事业人员考核奖惩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事业人员考核奖惩工作经费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75.00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1、事业人员考核</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2、事业人员奖惩</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26、土地出让金/隆尧县公职人员信息管理中心项目绩效目标表</w:t>
      </w:r>
      <w:bookmarkStart w:id="29" w:name="_Toc3235"/>
      <w:r>
        <w:fldChar w:fldCharType="begin"/>
      </w:r>
      <w:r>
        <w:rPr>
          <w:rFonts w:hint="eastAsia" w:ascii="方正仿宋_GBK" w:hAnsi="方正仿宋_GBK" w:eastAsia="方正仿宋_GBK" w:cs="方正仿宋_GBK"/>
          <w:b/>
          <w:sz w:val="28"/>
          <w:u w:val="none"/>
          <w:lang w:eastAsia="zh-CN"/>
        </w:rPr>
        <w:instrText xml:space="preserve"> TC 26、土地出让金/隆尧县公职人员信息管理中心项目绩效目标表 \f C \l 1 </w:instrText>
      </w:r>
      <w:r>
        <w:rPr>
          <w:rFonts w:hint="eastAsia" w:ascii="方正仿宋_GBK" w:hAnsi="方正仿宋_GBK" w:eastAsia="方正仿宋_GBK" w:cs="方正仿宋_GBK"/>
          <w:b/>
          <w:sz w:val="28"/>
          <w:u w:val="none"/>
          <w:lang w:eastAsia="zh-CN"/>
        </w:rPr>
        <w:fldChar w:fldCharType="end"/>
      </w:r>
      <w:bookmarkEnd w:id="29"/>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316-0701-YXN-A5D8</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土地出让金/隆尧县公职人员信息管理中心项目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公职人员信息管理中心场所建设工程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1、隆尧县人力资源和社会保障综合服务中心和县交通运输局综合执法服务中心项目变更追加-垃圾清理</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2、隆尧县人力资源和社会保障综合服务中心和县交通运输局综合执法服务中心项目变更追加-土方回填</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27、土地出让金/隆尧县人力资源和社会保障综合服务中心和县交运局项目绩效目标表</w:t>
      </w:r>
      <w:bookmarkStart w:id="30" w:name="_Toc13409"/>
      <w:r>
        <w:fldChar w:fldCharType="begin"/>
      </w:r>
      <w:r>
        <w:rPr>
          <w:rFonts w:hint="eastAsia" w:ascii="方正仿宋_GBK" w:hAnsi="方正仿宋_GBK" w:eastAsia="方正仿宋_GBK" w:cs="方正仿宋_GBK"/>
          <w:b/>
          <w:sz w:val="28"/>
          <w:u w:val="none"/>
          <w:lang w:eastAsia="zh-CN"/>
        </w:rPr>
        <w:instrText xml:space="preserve"> TC 27、土地出让金/隆尧县人力资源和社会保障综合服务中心和县交运局项目绩效目标表 \f C \l 1 </w:instrText>
      </w:r>
      <w:r>
        <w:rPr>
          <w:rFonts w:hint="eastAsia" w:ascii="方正仿宋_GBK" w:hAnsi="方正仿宋_GBK" w:eastAsia="方正仿宋_GBK" w:cs="方正仿宋_GBK"/>
          <w:b/>
          <w:sz w:val="28"/>
          <w:u w:val="none"/>
          <w:lang w:eastAsia="zh-CN"/>
        </w:rPr>
        <w:fldChar w:fldCharType="end"/>
      </w:r>
      <w:bookmarkEnd w:id="30"/>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316-0701-YXN-SAD6</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土地出让金/隆尧县人力资源和社会保障综合服务中心和县交运局项目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2000000.00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2000000.00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隆尧县人力资源和社会保障综合服务中心和隆尧县交通运输局综合执法服务中心联建项目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1、隆尧县人力资源和社会保障综合服务中心和县交通运输局综合执法服务中心项目变更追加-垃圾清理</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2、隆尧县人力资源和社会保障综合服务中心和县交通运输局综合执法服务中心项目变更追加-土方回填</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28、土地出让金/隆尧县人力资源和社会保障综合服务中心和县交运局项目变更追加-玻璃幕墙绩效目标表</w:t>
      </w:r>
      <w:bookmarkStart w:id="31" w:name="_Toc20854"/>
      <w:r>
        <w:fldChar w:fldCharType="begin"/>
      </w:r>
      <w:r>
        <w:rPr>
          <w:rFonts w:hint="eastAsia" w:ascii="方正仿宋_GBK" w:hAnsi="方正仿宋_GBK" w:eastAsia="方正仿宋_GBK" w:cs="方正仿宋_GBK"/>
          <w:b/>
          <w:sz w:val="28"/>
          <w:u w:val="none"/>
          <w:lang w:eastAsia="zh-CN"/>
        </w:rPr>
        <w:instrText xml:space="preserve"> TC 28、土地出让金/隆尧县人力资源和社会保障综合服务中心和县交运局项目变更追加-玻璃幕墙绩效目标表 \f C \l 1 </w:instrText>
      </w:r>
      <w:r>
        <w:rPr>
          <w:rFonts w:hint="eastAsia" w:ascii="方正仿宋_GBK" w:hAnsi="方正仿宋_GBK" w:eastAsia="方正仿宋_GBK" w:cs="方正仿宋_GBK"/>
          <w:b/>
          <w:sz w:val="28"/>
          <w:u w:val="none"/>
          <w:lang w:eastAsia="zh-CN"/>
        </w:rPr>
        <w:fldChar w:fldCharType="end"/>
      </w:r>
      <w:bookmarkEnd w:id="31"/>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316-0701-YXN-CIIB</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土地出让金/隆尧县人力资源和社会保障综合服务中心和县交运局项目变更追加-玻璃幕墙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隆尧县人力资源和社会保障综合服务中心和县交通运输局综合执法服务中心项目变更追加-玻璃幕墙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1、隆尧县人力资源和社会保障综合服务中心和县交通运输局综合执法服务中心项目变更追加-玻璃幕墙</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2、隆尧县人力资源和社会保障综合服务中心和县交通运输局综合执法服务中心项目变更追加-玻璃幕墙</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29、土地出让金/隆尧县人力资源和社会保障综合服务中心和县交运局项目变更追加-干挂石材、砖绩效目标表</w:t>
      </w:r>
      <w:bookmarkStart w:id="32" w:name="_Toc28083"/>
      <w:r>
        <w:fldChar w:fldCharType="begin"/>
      </w:r>
      <w:r>
        <w:rPr>
          <w:rFonts w:hint="eastAsia" w:ascii="方正仿宋_GBK" w:hAnsi="方正仿宋_GBK" w:eastAsia="方正仿宋_GBK" w:cs="方正仿宋_GBK"/>
          <w:b/>
          <w:sz w:val="28"/>
          <w:u w:val="none"/>
          <w:lang w:eastAsia="zh-CN"/>
        </w:rPr>
        <w:instrText xml:space="preserve"> TC 29、土地出让金/隆尧县人力资源和社会保障综合服务中心和县交运局项目变更追加-干挂石材、砖绩效目标表 \f C \l 1 </w:instrText>
      </w:r>
      <w:r>
        <w:rPr>
          <w:rFonts w:hint="eastAsia" w:ascii="方正仿宋_GBK" w:hAnsi="方正仿宋_GBK" w:eastAsia="方正仿宋_GBK" w:cs="方正仿宋_GBK"/>
          <w:b/>
          <w:sz w:val="28"/>
          <w:u w:val="none"/>
          <w:lang w:eastAsia="zh-CN"/>
        </w:rPr>
        <w:fldChar w:fldCharType="end"/>
      </w:r>
      <w:bookmarkEnd w:id="32"/>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316-0701-YXN-23GE</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土地出让金/隆尧县人力资源和社会保障综合服务中心和县交运局项目变更追加-干挂石材、砖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431465.00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431465.00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隆尧县人力资源和社会保障综合服务中心和县交通运输局综合执法服务中心项目变更追加-干挂石材、砖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1、隆尧县人力资源和社会保障综合服务中心和县交通运输局综合执法服务中心项目变更追加-砖</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2、隆尧县人力资源和社会保障综合服务中心和县交通运输局综合执法服务中心项目变更追加-干挂石材</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30、土地出让金/隆尧县人力资源和社会保障综合服务中心和县交运局项目变更追加-垃圾清理及土方回填绩效目标表</w:t>
      </w:r>
      <w:bookmarkStart w:id="33" w:name="_Toc27961"/>
      <w:r>
        <w:fldChar w:fldCharType="begin"/>
      </w:r>
      <w:r>
        <w:rPr>
          <w:rFonts w:hint="eastAsia" w:ascii="方正仿宋_GBK" w:hAnsi="方正仿宋_GBK" w:eastAsia="方正仿宋_GBK" w:cs="方正仿宋_GBK"/>
          <w:b/>
          <w:sz w:val="28"/>
          <w:u w:val="none"/>
          <w:lang w:eastAsia="zh-CN"/>
        </w:rPr>
        <w:instrText xml:space="preserve"> TC 30、土地出让金/隆尧县人力资源和社会保障综合服务中心和县交运局项目变更追加-垃圾清理及土方回填绩效目标表 \f C \l 1 </w:instrText>
      </w:r>
      <w:r>
        <w:rPr>
          <w:rFonts w:hint="eastAsia" w:ascii="方正仿宋_GBK" w:hAnsi="方正仿宋_GBK" w:eastAsia="方正仿宋_GBK" w:cs="方正仿宋_GBK"/>
          <w:b/>
          <w:sz w:val="28"/>
          <w:u w:val="none"/>
          <w:lang w:eastAsia="zh-CN"/>
        </w:rPr>
        <w:fldChar w:fldCharType="end"/>
      </w:r>
      <w:bookmarkEnd w:id="33"/>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316-0701-YXN-0GWB</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土地出让金/隆尧县人力资源和社会保障综合服务中心和县交运局项目变更追加-垃圾清理及土方回填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392252.00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392252.00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隆尧县人力资源和社会保障综合服务中心和县交通运输局综合执法服务中心项目变更追加-垃圾清理及土方回填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1、隆尧县人力资源和社会保障综合服务中心和县交通运输局综合执法服务中心项目变更追加-垃圾清理</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2、隆尧县人力资源和社会保障综合服务中心和县交通运输局综合执法服务中心项目变更追加-土方回填</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31、土地出让金/隆尧县人力资源和社会保障综合服务中心和县交运局项目城市基础设施配套费和防空易地建设绩效目标表</w:t>
      </w:r>
      <w:bookmarkStart w:id="34" w:name="_Toc9701"/>
      <w:r>
        <w:fldChar w:fldCharType="begin"/>
      </w:r>
      <w:r>
        <w:rPr>
          <w:rFonts w:hint="eastAsia" w:ascii="方正仿宋_GBK" w:hAnsi="方正仿宋_GBK" w:eastAsia="方正仿宋_GBK" w:cs="方正仿宋_GBK"/>
          <w:b/>
          <w:sz w:val="28"/>
          <w:u w:val="none"/>
          <w:lang w:eastAsia="zh-CN"/>
        </w:rPr>
        <w:instrText xml:space="preserve"> TC 31、土地出让金/隆尧县人力资源和社会保障综合服务中心和县交运局项目城市基础设施配套费和防空易地建设绩效目标表 \f C \l 1 </w:instrText>
      </w:r>
      <w:r>
        <w:rPr>
          <w:rFonts w:hint="eastAsia" w:ascii="方正仿宋_GBK" w:hAnsi="方正仿宋_GBK" w:eastAsia="方正仿宋_GBK" w:cs="方正仿宋_GBK"/>
          <w:b/>
          <w:sz w:val="28"/>
          <w:u w:val="none"/>
          <w:lang w:eastAsia="zh-CN"/>
        </w:rPr>
        <w:fldChar w:fldCharType="end"/>
      </w:r>
      <w:bookmarkEnd w:id="34"/>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316-0701-YXN-SASH</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土地出让金/隆尧县人力资源和社会保障综合服务中心和县交运局项目城市基础设施配套费和防空易地建设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379611.00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379611.00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隆尧县人力资源和社会保障综合服务中心和县交通运输局综合执法服务中心项目城市基础设施配套费和防空易地建设费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1、隆尧县人力资源和社会保障综合服务中心和县交通运输局综合执法服务中心项目城市基础设施配套费</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2、隆尧县人力资源和社会保障综合服务中心和县交通运输局综合执法服务中心项目防空易地建设费</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32、土地出让金/隆尧县人力资源和社会保障综合服务中心和县交运局项目监理费用和设计费绩效目标表</w:t>
      </w:r>
      <w:bookmarkStart w:id="35" w:name="_Toc31327"/>
      <w:r>
        <w:fldChar w:fldCharType="begin"/>
      </w:r>
      <w:r>
        <w:rPr>
          <w:rFonts w:hint="eastAsia" w:ascii="方正仿宋_GBK" w:hAnsi="方正仿宋_GBK" w:eastAsia="方正仿宋_GBK" w:cs="方正仿宋_GBK"/>
          <w:b/>
          <w:sz w:val="28"/>
          <w:u w:val="none"/>
          <w:lang w:eastAsia="zh-CN"/>
        </w:rPr>
        <w:instrText xml:space="preserve"> TC 32、土地出让金/隆尧县人力资源和社会保障综合服务中心和县交运局项目监理费用和设计费绩效目标表 \f C \l 1 </w:instrText>
      </w:r>
      <w:r>
        <w:rPr>
          <w:rFonts w:hint="eastAsia" w:ascii="方正仿宋_GBK" w:hAnsi="方正仿宋_GBK" w:eastAsia="方正仿宋_GBK" w:cs="方正仿宋_GBK"/>
          <w:b/>
          <w:sz w:val="28"/>
          <w:u w:val="none"/>
          <w:lang w:eastAsia="zh-CN"/>
        </w:rPr>
        <w:fldChar w:fldCharType="end"/>
      </w:r>
      <w:bookmarkEnd w:id="35"/>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316-0701-YXN-O0GK</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土地出让金/隆尧县人力资源和社会保障综合服务中心和县交运局项目监理费用和设计费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233000.00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233000.00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隆尧县人力资源和社会保障综合服务中心和县交通运输局综合执法服务中心项目监理费用和设计费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1、隆尧县人力资源和社会保障综合服务中心和县交通运输局综合执法服务中心项目监理费用</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2、隆尧县人力资源和社会保障综合服务中心和县交通运输局综合执法服务中心项目设计费</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业务保障能力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满足社会日益增加的就业需求，让群众享受更好的就业和社会保障服务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改善就业和社会保障服务条件的环境</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提高服务能力，扩大服务规模，树立人力资源和社会保障综合服务中心新形象</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outlineLvl w:val="9"/>
        <w:rPr>
          <w:rFonts w:hint="eastAsia" w:ascii="方正书宋_GBK" w:hAnsi="方正书宋_GBK" w:eastAsia="方正书宋_GBK" w:cs="方正书宋_GBK"/>
          <w:b/>
          <w:sz w:val="21"/>
          <w:u w:val="none"/>
          <w:lang w:eastAsia="zh-CN"/>
        </w:rPr>
      </w:pPr>
    </w:p>
    <w:p>
      <w:pPr>
        <w:ind w:firstLine="562" w:firstLineChars="200"/>
        <w:jc w:val="left"/>
        <w:outlineLvl w:val="1"/>
        <w:rPr>
          <w:rFonts w:hint="eastAsia" w:ascii="Times New Roman" w:hAnsi="宋体" w:eastAsia="宋体" w:cs="宋体"/>
          <w:b/>
          <w:sz w:val="28"/>
          <w:u w:val="none"/>
          <w:lang w:eastAsia="zh-CN"/>
        </w:rPr>
      </w:pPr>
      <w:r>
        <w:rPr>
          <w:rFonts w:hint="eastAsia" w:ascii="方正仿宋_GBK" w:hAnsi="方正仿宋_GBK" w:eastAsia="方正仿宋_GBK" w:cs="方正仿宋_GBK"/>
          <w:b/>
          <w:sz w:val="28"/>
          <w:u w:val="none"/>
          <w:lang w:eastAsia="zh-CN"/>
        </w:rPr>
        <w:t>33、再就业工作经费绩效目标表</w:t>
      </w:r>
      <w:bookmarkStart w:id="36" w:name="_Toc21734"/>
      <w:r>
        <w:fldChar w:fldCharType="begin"/>
      </w:r>
      <w:r>
        <w:rPr>
          <w:rFonts w:hint="eastAsia" w:ascii="方正仿宋_GBK" w:hAnsi="方正仿宋_GBK" w:eastAsia="方正仿宋_GBK" w:cs="方正仿宋_GBK"/>
          <w:b/>
          <w:sz w:val="28"/>
          <w:u w:val="none"/>
          <w:lang w:eastAsia="zh-CN"/>
        </w:rPr>
        <w:instrText xml:space="preserve"> TC 33、再就业工作经费绩效目标表 \f C \l 1 </w:instrText>
      </w:r>
      <w:r>
        <w:rPr>
          <w:rFonts w:hint="eastAsia" w:ascii="方正仿宋_GBK" w:hAnsi="方正仿宋_GBK" w:eastAsia="方正仿宋_GBK" w:cs="方正仿宋_GBK"/>
          <w:b/>
          <w:sz w:val="28"/>
          <w:u w:val="none"/>
          <w:lang w:eastAsia="zh-CN"/>
        </w:rPr>
        <w:fldChar w:fldCharType="end"/>
      </w:r>
      <w:bookmarkEnd w:id="36"/>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316002隆尧县人力资源和社会保障局</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316-0102-JXN-E5OZ</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再就业工作经费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40000.00</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40000.00</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再就业工作和人才交流支出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588"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2977" w:type="dxa"/>
            <w:gridSpan w:val="2"/>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1、再就业工作</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2、人才交流会</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人才交流会</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为群众提供优质政务服务完成率</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为群众提供优质政务服务案件数量占申请政务服务数量的比例</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保障机关正常运转</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社会影响力</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276"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群众对提供各种政务等服务的满意程度</w:t>
            </w:r>
          </w:p>
        </w:tc>
        <w:tc>
          <w:tcPr>
            <w:tcW w:w="1701" w:type="dxa"/>
            <w:noWrap w:val="0"/>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计划标准</w:t>
            </w:r>
          </w:p>
        </w:tc>
      </w:tr>
    </w:tbl>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37"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459.19</w:t>
      </w:r>
      <w:r>
        <w:rPr>
          <w:rFonts w:ascii="Times New Roman" w:hAnsi="Times New Roman" w:eastAsia="仿宋" w:cs="Times New Roman"/>
          <w:sz w:val="32"/>
          <w:szCs w:val="24"/>
        </w:rPr>
        <w:t>万元。具体内容见下表。</w:t>
      </w:r>
      <w:bookmarkEnd w:id="37"/>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38" w:name="_Toc28848395"/>
      <w:r>
        <w:rPr>
          <w:rFonts w:hint="eastAsia" w:ascii="方正小标宋_GBK" w:eastAsia="方正小标宋_GBK"/>
          <w:sz w:val="32"/>
        </w:rPr>
        <w:instrText xml:space="preserve">部门政府采购预算</w:instrText>
      </w:r>
      <w:bookmarkEnd w:id="3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18"/>
        <w:gridCol w:w="845"/>
        <w:gridCol w:w="1350"/>
        <w:gridCol w:w="859"/>
        <w:gridCol w:w="614"/>
        <w:gridCol w:w="490"/>
        <w:gridCol w:w="816"/>
        <w:gridCol w:w="1008"/>
        <w:gridCol w:w="960"/>
        <w:gridCol w:w="1035"/>
        <w:gridCol w:w="982"/>
        <w:gridCol w:w="765"/>
        <w:gridCol w:w="836"/>
        <w:gridCol w:w="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092"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lang w:val="en-US" w:eastAsia="zh-CN"/>
              </w:rPr>
              <w:t>316</w:t>
            </w:r>
            <w:r>
              <w:rPr>
                <w:rFonts w:hint="eastAsia" w:ascii="方正小标宋_GBK" w:eastAsia="方正小标宋_GBK"/>
                <w:sz w:val="24"/>
                <w:lang w:eastAsia="zh-CN"/>
              </w:rPr>
              <w:t>隆尧县人力资源和社会保障局</w:t>
            </w:r>
          </w:p>
        </w:tc>
        <w:tc>
          <w:tcPr>
            <w:tcW w:w="6476"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963"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350"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859"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数量单位</w:t>
            </w:r>
          </w:p>
        </w:tc>
        <w:tc>
          <w:tcPr>
            <w:tcW w:w="49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1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476"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18"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45"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350" w:type="dxa"/>
            <w:vMerge w:val="continue"/>
            <w:vAlign w:val="center"/>
          </w:tcPr>
          <w:p>
            <w:pPr>
              <w:spacing w:line="300" w:lineRule="exact"/>
              <w:jc w:val="left"/>
              <w:outlineLvl w:val="0"/>
            </w:pPr>
          </w:p>
        </w:tc>
        <w:tc>
          <w:tcPr>
            <w:tcW w:w="859" w:type="dxa"/>
            <w:vMerge w:val="continue"/>
            <w:vAlign w:val="center"/>
          </w:tcPr>
          <w:p>
            <w:pPr>
              <w:spacing w:line="300" w:lineRule="exact"/>
              <w:jc w:val="left"/>
              <w:outlineLvl w:val="0"/>
            </w:pPr>
          </w:p>
        </w:tc>
        <w:tc>
          <w:tcPr>
            <w:tcW w:w="614" w:type="dxa"/>
            <w:vMerge w:val="continue"/>
            <w:vAlign w:val="center"/>
          </w:tcPr>
          <w:p>
            <w:pPr>
              <w:spacing w:line="300" w:lineRule="exact"/>
              <w:jc w:val="left"/>
              <w:outlineLvl w:val="0"/>
            </w:pPr>
          </w:p>
        </w:tc>
        <w:tc>
          <w:tcPr>
            <w:tcW w:w="490" w:type="dxa"/>
            <w:vMerge w:val="continue"/>
            <w:vAlign w:val="center"/>
          </w:tcPr>
          <w:p>
            <w:pPr>
              <w:spacing w:line="300" w:lineRule="exact"/>
              <w:jc w:val="left"/>
              <w:outlineLvl w:val="0"/>
            </w:pPr>
          </w:p>
        </w:tc>
        <w:tc>
          <w:tcPr>
            <w:tcW w:w="816" w:type="dxa"/>
            <w:vMerge w:val="continue"/>
            <w:vAlign w:val="center"/>
          </w:tcPr>
          <w:p>
            <w:pPr>
              <w:spacing w:line="300" w:lineRule="exact"/>
              <w:jc w:val="left"/>
              <w:outlineLvl w:val="0"/>
            </w:pPr>
          </w:p>
        </w:tc>
        <w:tc>
          <w:tcPr>
            <w:tcW w:w="1008"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78"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90"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18" w:type="dxa"/>
            <w:vMerge w:val="continue"/>
            <w:vAlign w:val="center"/>
          </w:tcPr>
          <w:p>
            <w:pPr>
              <w:spacing w:line="300" w:lineRule="exact"/>
              <w:jc w:val="left"/>
              <w:outlineLvl w:val="0"/>
            </w:pPr>
          </w:p>
        </w:tc>
        <w:tc>
          <w:tcPr>
            <w:tcW w:w="845" w:type="dxa"/>
            <w:vMerge w:val="continue"/>
            <w:vAlign w:val="center"/>
          </w:tcPr>
          <w:p>
            <w:pPr>
              <w:spacing w:line="300" w:lineRule="exact"/>
              <w:jc w:val="left"/>
              <w:outlineLvl w:val="0"/>
            </w:pPr>
          </w:p>
        </w:tc>
        <w:tc>
          <w:tcPr>
            <w:tcW w:w="1350" w:type="dxa"/>
            <w:vMerge w:val="continue"/>
            <w:vAlign w:val="center"/>
          </w:tcPr>
          <w:p>
            <w:pPr>
              <w:spacing w:line="300" w:lineRule="exact"/>
              <w:jc w:val="left"/>
              <w:outlineLvl w:val="0"/>
            </w:pPr>
          </w:p>
        </w:tc>
        <w:tc>
          <w:tcPr>
            <w:tcW w:w="859" w:type="dxa"/>
            <w:vMerge w:val="continue"/>
            <w:vAlign w:val="center"/>
          </w:tcPr>
          <w:p>
            <w:pPr>
              <w:spacing w:line="300" w:lineRule="exact"/>
              <w:jc w:val="left"/>
              <w:outlineLvl w:val="0"/>
            </w:pPr>
          </w:p>
        </w:tc>
        <w:tc>
          <w:tcPr>
            <w:tcW w:w="614" w:type="dxa"/>
            <w:vMerge w:val="continue"/>
            <w:vAlign w:val="center"/>
          </w:tcPr>
          <w:p>
            <w:pPr>
              <w:spacing w:line="300" w:lineRule="exact"/>
              <w:jc w:val="left"/>
              <w:outlineLvl w:val="0"/>
            </w:pPr>
          </w:p>
        </w:tc>
        <w:tc>
          <w:tcPr>
            <w:tcW w:w="490" w:type="dxa"/>
            <w:vMerge w:val="continue"/>
            <w:vAlign w:val="center"/>
          </w:tcPr>
          <w:p>
            <w:pPr>
              <w:spacing w:line="300" w:lineRule="exact"/>
              <w:jc w:val="left"/>
              <w:outlineLvl w:val="0"/>
            </w:pPr>
          </w:p>
        </w:tc>
        <w:tc>
          <w:tcPr>
            <w:tcW w:w="816" w:type="dxa"/>
            <w:vMerge w:val="continue"/>
            <w:vAlign w:val="center"/>
          </w:tcPr>
          <w:p>
            <w:pPr>
              <w:spacing w:line="300" w:lineRule="exact"/>
              <w:jc w:val="left"/>
              <w:outlineLvl w:val="0"/>
            </w:pPr>
          </w:p>
        </w:tc>
        <w:tc>
          <w:tcPr>
            <w:tcW w:w="1008" w:type="dxa"/>
            <w:vMerge w:val="continue"/>
            <w:vAlign w:val="center"/>
          </w:tcPr>
          <w:p>
            <w:pPr>
              <w:spacing w:line="300" w:lineRule="exact"/>
              <w:jc w:val="left"/>
              <w:outlineLvl w:val="0"/>
            </w:pPr>
          </w:p>
        </w:tc>
        <w:tc>
          <w:tcPr>
            <w:tcW w:w="960"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03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82"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65"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36"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90"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spacing w:line="300" w:lineRule="exact"/>
              <w:jc w:val="center"/>
              <w:rPr>
                <w:rFonts w:ascii="方正书宋_GBK" w:eastAsia="方正书宋_GBK"/>
                <w:b/>
                <w:bCs w:val="0"/>
              </w:rPr>
            </w:pPr>
            <w:r>
              <w:rPr>
                <w:rFonts w:hint="eastAsia" w:ascii="方正书宋_GBK" w:eastAsia="方正书宋_GBK"/>
                <w:b/>
                <w:bCs w:val="0"/>
              </w:rPr>
              <w:t>合　计</w:t>
            </w:r>
          </w:p>
        </w:tc>
        <w:tc>
          <w:tcPr>
            <w:tcW w:w="845" w:type="dxa"/>
            <w:vAlign w:val="center"/>
          </w:tcPr>
          <w:p>
            <w:pPr>
              <w:keepNext w:val="0"/>
              <w:keepLines w:val="0"/>
              <w:widowControl/>
              <w:suppressLineNumbers w:val="0"/>
              <w:jc w:val="right"/>
              <w:textAlignment w:val="center"/>
              <w:rPr>
                <w:rFonts w:hint="eastAsia" w:ascii="方正书宋_GBK" w:eastAsia="方正书宋_GBK"/>
                <w:b/>
                <w:bCs w:val="0"/>
                <w:lang w:val="en-US" w:eastAsia="zh-CN"/>
              </w:rPr>
            </w:pPr>
            <w:r>
              <w:rPr>
                <w:rFonts w:hint="eastAsia" w:ascii="宋体" w:hAnsi="宋体" w:eastAsia="宋体" w:cs="宋体"/>
                <w:b/>
                <w:bCs w:val="0"/>
                <w:i w:val="0"/>
                <w:color w:val="000000"/>
                <w:kern w:val="0"/>
                <w:sz w:val="18"/>
                <w:szCs w:val="18"/>
                <w:u w:val="none"/>
                <w:lang w:val="en-US" w:eastAsia="zh-CN" w:bidi="ar"/>
              </w:rPr>
              <w:t xml:space="preserve">459.19 </w:t>
            </w:r>
          </w:p>
        </w:tc>
        <w:tc>
          <w:tcPr>
            <w:tcW w:w="1350" w:type="dxa"/>
            <w:vAlign w:val="center"/>
          </w:tcPr>
          <w:p>
            <w:pPr>
              <w:spacing w:line="300" w:lineRule="exact"/>
              <w:jc w:val="left"/>
              <w:rPr>
                <w:rFonts w:ascii="方正书宋_GBK" w:eastAsia="方正书宋_GBK"/>
                <w:b/>
                <w:bCs w:val="0"/>
              </w:rPr>
            </w:pPr>
          </w:p>
        </w:tc>
        <w:tc>
          <w:tcPr>
            <w:tcW w:w="859" w:type="dxa"/>
            <w:vAlign w:val="center"/>
          </w:tcPr>
          <w:p>
            <w:pPr>
              <w:spacing w:line="300" w:lineRule="exact"/>
              <w:jc w:val="left"/>
              <w:rPr>
                <w:rFonts w:ascii="方正书宋_GBK" w:eastAsia="方正书宋_GBK"/>
                <w:b/>
                <w:bCs w:val="0"/>
              </w:rPr>
            </w:pPr>
          </w:p>
        </w:tc>
        <w:tc>
          <w:tcPr>
            <w:tcW w:w="614" w:type="dxa"/>
            <w:vAlign w:val="center"/>
          </w:tcPr>
          <w:p>
            <w:pPr>
              <w:spacing w:line="300" w:lineRule="exact"/>
              <w:jc w:val="left"/>
              <w:rPr>
                <w:rFonts w:ascii="方正书宋_GBK" w:eastAsia="方正书宋_GBK"/>
                <w:b/>
                <w:bCs w:val="0"/>
              </w:rPr>
            </w:pPr>
          </w:p>
        </w:tc>
        <w:tc>
          <w:tcPr>
            <w:tcW w:w="490" w:type="dxa"/>
            <w:vAlign w:val="center"/>
          </w:tcPr>
          <w:p>
            <w:pPr>
              <w:spacing w:line="300" w:lineRule="exact"/>
              <w:jc w:val="right"/>
              <w:rPr>
                <w:rFonts w:ascii="方正书宋_GBK" w:eastAsia="方正书宋_GBK"/>
                <w:b/>
                <w:bCs w:val="0"/>
              </w:rPr>
            </w:pPr>
          </w:p>
        </w:tc>
        <w:tc>
          <w:tcPr>
            <w:tcW w:w="816" w:type="dxa"/>
            <w:vAlign w:val="center"/>
          </w:tcPr>
          <w:p>
            <w:pPr>
              <w:spacing w:line="300" w:lineRule="exact"/>
              <w:jc w:val="right"/>
              <w:rPr>
                <w:rFonts w:ascii="方正书宋_GBK" w:eastAsia="方正书宋_GBK"/>
                <w:b/>
                <w:bCs w:val="0"/>
              </w:rPr>
            </w:pPr>
          </w:p>
        </w:tc>
        <w:tc>
          <w:tcPr>
            <w:tcW w:w="1008" w:type="dxa"/>
            <w:vAlign w:val="center"/>
          </w:tcPr>
          <w:p>
            <w:pPr>
              <w:keepNext w:val="0"/>
              <w:keepLines w:val="0"/>
              <w:widowControl/>
              <w:suppressLineNumbers w:val="0"/>
              <w:jc w:val="right"/>
              <w:textAlignment w:val="center"/>
              <w:rPr>
                <w:rFonts w:ascii="方正书宋_GBK" w:eastAsia="方正书宋_GBK"/>
                <w:b/>
                <w:bCs w:val="0"/>
              </w:rPr>
            </w:pPr>
            <w:r>
              <w:rPr>
                <w:rFonts w:hint="eastAsia" w:ascii="宋体" w:hAnsi="宋体" w:eastAsia="宋体" w:cs="宋体"/>
                <w:b/>
                <w:bCs w:val="0"/>
                <w:i w:val="0"/>
                <w:color w:val="000000"/>
                <w:kern w:val="0"/>
                <w:sz w:val="18"/>
                <w:szCs w:val="18"/>
                <w:u w:val="none"/>
                <w:lang w:val="en-US" w:eastAsia="zh-CN" w:bidi="ar"/>
              </w:rPr>
              <w:t>459.19</w:t>
            </w:r>
          </w:p>
        </w:tc>
        <w:tc>
          <w:tcPr>
            <w:tcW w:w="960" w:type="dxa"/>
            <w:vAlign w:val="center"/>
          </w:tcPr>
          <w:p>
            <w:pPr>
              <w:keepNext w:val="0"/>
              <w:keepLines w:val="0"/>
              <w:widowControl/>
              <w:suppressLineNumbers w:val="0"/>
              <w:jc w:val="right"/>
              <w:textAlignment w:val="center"/>
              <w:rPr>
                <w:rFonts w:ascii="方正书宋_GBK" w:eastAsia="方正书宋_GBK"/>
                <w:b/>
                <w:bCs w:val="0"/>
              </w:rPr>
            </w:pPr>
            <w:r>
              <w:rPr>
                <w:rFonts w:hint="eastAsia" w:ascii="宋体" w:hAnsi="宋体" w:eastAsia="宋体" w:cs="宋体"/>
                <w:b/>
                <w:bCs w:val="0"/>
                <w:i w:val="0"/>
                <w:color w:val="000000"/>
                <w:kern w:val="0"/>
                <w:sz w:val="18"/>
                <w:szCs w:val="18"/>
                <w:u w:val="none"/>
                <w:lang w:val="en-US" w:eastAsia="zh-CN" w:bidi="ar"/>
              </w:rPr>
              <w:t>459.19</w:t>
            </w:r>
          </w:p>
        </w:tc>
        <w:tc>
          <w:tcPr>
            <w:tcW w:w="1035" w:type="dxa"/>
            <w:vAlign w:val="center"/>
          </w:tcPr>
          <w:p>
            <w:pPr>
              <w:keepNext w:val="0"/>
              <w:keepLines w:val="0"/>
              <w:widowControl/>
              <w:suppressLineNumbers w:val="0"/>
              <w:jc w:val="right"/>
              <w:textAlignment w:val="center"/>
              <w:rPr>
                <w:rFonts w:hint="default" w:ascii="方正书宋_GBK" w:eastAsia="方正书宋_GBK"/>
                <w:b/>
                <w:bCs w:val="0"/>
                <w:lang w:val="en-US"/>
              </w:rPr>
            </w:pPr>
            <w:r>
              <w:rPr>
                <w:rFonts w:hint="eastAsia" w:ascii="宋体" w:hAnsi="宋体" w:cs="宋体"/>
                <w:b/>
                <w:bCs w:val="0"/>
                <w:i w:val="0"/>
                <w:color w:val="000000"/>
                <w:kern w:val="0"/>
                <w:sz w:val="18"/>
                <w:szCs w:val="18"/>
                <w:u w:val="none"/>
                <w:lang w:val="en-US" w:eastAsia="zh-CN" w:bidi="ar"/>
              </w:rPr>
              <w:t>38.86</w:t>
            </w:r>
          </w:p>
        </w:tc>
        <w:tc>
          <w:tcPr>
            <w:tcW w:w="982" w:type="dxa"/>
            <w:vAlign w:val="center"/>
          </w:tcPr>
          <w:p>
            <w:pPr>
              <w:spacing w:line="300" w:lineRule="exact"/>
              <w:jc w:val="right"/>
              <w:rPr>
                <w:rFonts w:hint="default" w:ascii="方正书宋_GBK" w:eastAsia="方正书宋_GBK"/>
                <w:b/>
                <w:bCs w:val="0"/>
                <w:lang w:val="en-US" w:eastAsia="zh-CN"/>
              </w:rPr>
            </w:pPr>
            <w:r>
              <w:rPr>
                <w:rFonts w:hint="eastAsia" w:ascii="宋体" w:hAnsi="宋体" w:cs="宋体"/>
                <w:b/>
                <w:bCs w:val="0"/>
                <w:i w:val="0"/>
                <w:color w:val="000000"/>
                <w:kern w:val="0"/>
                <w:sz w:val="18"/>
                <w:szCs w:val="18"/>
                <w:u w:val="none"/>
                <w:lang w:val="en-US" w:eastAsia="zh-CN" w:bidi="ar"/>
              </w:rPr>
              <w:t>420.33</w:t>
            </w:r>
          </w:p>
        </w:tc>
        <w:tc>
          <w:tcPr>
            <w:tcW w:w="765" w:type="dxa"/>
            <w:vAlign w:val="center"/>
          </w:tcPr>
          <w:p>
            <w:pPr>
              <w:spacing w:line="300" w:lineRule="exact"/>
              <w:jc w:val="right"/>
              <w:rPr>
                <w:rFonts w:hint="default" w:ascii="方正书宋_GBK" w:eastAsia="方正书宋_GBK"/>
                <w:b/>
                <w:lang w:val="en-US"/>
              </w:rPr>
            </w:pPr>
          </w:p>
        </w:tc>
        <w:tc>
          <w:tcPr>
            <w:tcW w:w="836" w:type="dxa"/>
            <w:vAlign w:val="center"/>
          </w:tcPr>
          <w:p>
            <w:pPr>
              <w:spacing w:line="300" w:lineRule="exact"/>
              <w:jc w:val="right"/>
              <w:rPr>
                <w:rFonts w:ascii="方正书宋_GBK" w:eastAsia="方正书宋_GBK"/>
                <w:b/>
              </w:rPr>
            </w:pPr>
          </w:p>
        </w:tc>
        <w:tc>
          <w:tcPr>
            <w:tcW w:w="89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b/>
              </w:rPr>
            </w:pPr>
            <w:r>
              <w:rPr>
                <w:rFonts w:hint="eastAsia" w:ascii="宋体" w:hAnsi="宋体" w:eastAsia="宋体" w:cs="宋体"/>
                <w:i w:val="0"/>
                <w:color w:val="000000"/>
                <w:kern w:val="0"/>
                <w:sz w:val="18"/>
                <w:szCs w:val="18"/>
                <w:u w:val="none"/>
                <w:lang w:val="en-US" w:eastAsia="zh-CN" w:bidi="ar"/>
              </w:rPr>
              <w:t>办公费</w:t>
            </w:r>
          </w:p>
        </w:tc>
        <w:tc>
          <w:tcPr>
            <w:tcW w:w="845" w:type="dxa"/>
            <w:vAlign w:val="center"/>
          </w:tcPr>
          <w:p>
            <w:pPr>
              <w:keepNext w:val="0"/>
              <w:keepLines w:val="0"/>
              <w:widowControl/>
              <w:suppressLineNumbers w:val="0"/>
              <w:jc w:val="right"/>
              <w:textAlignment w:val="center"/>
              <w:rPr>
                <w:rFonts w:hint="eastAsia" w:ascii="方正书宋_GBK" w:eastAsia="方正书宋_GBK"/>
                <w:b/>
                <w:lang w:val="en-US" w:eastAsia="zh-CN"/>
              </w:rPr>
            </w:pPr>
            <w:r>
              <w:rPr>
                <w:rFonts w:hint="eastAsia" w:ascii="宋体" w:hAnsi="宋体" w:eastAsia="宋体" w:cs="宋体"/>
                <w:i w:val="0"/>
                <w:color w:val="000000"/>
                <w:kern w:val="0"/>
                <w:sz w:val="18"/>
                <w:szCs w:val="18"/>
                <w:u w:val="none"/>
                <w:lang w:val="en-US" w:eastAsia="zh-CN" w:bidi="ar"/>
              </w:rPr>
              <w:t xml:space="preserve">6.36 </w:t>
            </w:r>
          </w:p>
        </w:tc>
        <w:tc>
          <w:tcPr>
            <w:tcW w:w="1350" w:type="dxa"/>
            <w:vAlign w:val="center"/>
          </w:tcPr>
          <w:p>
            <w:pPr>
              <w:spacing w:line="300" w:lineRule="exact"/>
              <w:jc w:val="left"/>
              <w:rPr>
                <w:rFonts w:ascii="方正书宋_GBK" w:eastAsia="方正书宋_GBK"/>
                <w:b/>
              </w:rPr>
            </w:pPr>
            <w:r>
              <w:rPr>
                <w:rFonts w:hint="eastAsia" w:ascii="方正书宋_GBK" w:eastAsia="方正书宋_GBK"/>
                <w:lang w:val="en-US" w:eastAsia="zh-CN"/>
              </w:rPr>
              <w:t>办公消耗品</w:t>
            </w:r>
          </w:p>
        </w:tc>
        <w:tc>
          <w:tcPr>
            <w:tcW w:w="859" w:type="dxa"/>
            <w:vAlign w:val="center"/>
          </w:tcPr>
          <w:p>
            <w:pPr>
              <w:spacing w:line="300" w:lineRule="exact"/>
              <w:jc w:val="left"/>
              <w:rPr>
                <w:rFonts w:ascii="方正书宋_GBK" w:eastAsia="方正书宋_GBK"/>
                <w:b/>
              </w:rPr>
            </w:pPr>
          </w:p>
        </w:tc>
        <w:tc>
          <w:tcPr>
            <w:tcW w:w="614" w:type="dxa"/>
            <w:vAlign w:val="center"/>
          </w:tcPr>
          <w:p>
            <w:pPr>
              <w:keepNext w:val="0"/>
              <w:keepLines w:val="0"/>
              <w:widowControl/>
              <w:suppressLineNumbers w:val="0"/>
              <w:jc w:val="left"/>
              <w:textAlignment w:val="center"/>
              <w:rPr>
                <w:rFonts w:ascii="方正书宋_GBK" w:eastAsia="方正书宋_GBK"/>
                <w:b/>
              </w:rPr>
            </w:pPr>
            <w:r>
              <w:rPr>
                <w:rFonts w:hint="eastAsia" w:ascii="宋体" w:hAnsi="宋体" w:eastAsia="宋体" w:cs="宋体"/>
                <w:i w:val="0"/>
                <w:color w:val="000000"/>
                <w:kern w:val="0"/>
                <w:sz w:val="18"/>
                <w:szCs w:val="18"/>
                <w:u w:val="none"/>
                <w:lang w:val="en-US" w:eastAsia="zh-CN" w:bidi="ar"/>
              </w:rPr>
              <w:t>批</w:t>
            </w:r>
          </w:p>
        </w:tc>
        <w:tc>
          <w:tcPr>
            <w:tcW w:w="490" w:type="dxa"/>
            <w:vAlign w:val="center"/>
          </w:tcPr>
          <w:p>
            <w:pPr>
              <w:keepNext w:val="0"/>
              <w:keepLines w:val="0"/>
              <w:widowControl/>
              <w:suppressLineNumbers w:val="0"/>
              <w:jc w:val="right"/>
              <w:textAlignment w:val="center"/>
              <w:rPr>
                <w:rFonts w:ascii="方正书宋_GBK" w:eastAsia="方正书宋_GBK"/>
                <w:b/>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b/>
              </w:rPr>
            </w:pPr>
            <w:r>
              <w:rPr>
                <w:rFonts w:hint="eastAsia" w:ascii="宋体" w:hAnsi="宋体" w:eastAsia="宋体" w:cs="宋体"/>
                <w:i w:val="0"/>
                <w:color w:val="000000"/>
                <w:kern w:val="0"/>
                <w:sz w:val="18"/>
                <w:szCs w:val="18"/>
                <w:u w:val="none"/>
                <w:lang w:val="en-US" w:eastAsia="zh-CN" w:bidi="ar"/>
              </w:rPr>
              <w:t xml:space="preserve">6.36 </w:t>
            </w:r>
          </w:p>
        </w:tc>
        <w:tc>
          <w:tcPr>
            <w:tcW w:w="1008" w:type="dxa"/>
            <w:vAlign w:val="center"/>
          </w:tcPr>
          <w:p>
            <w:pPr>
              <w:keepNext w:val="0"/>
              <w:keepLines w:val="0"/>
              <w:widowControl/>
              <w:suppressLineNumbers w:val="0"/>
              <w:jc w:val="right"/>
              <w:textAlignment w:val="center"/>
              <w:rPr>
                <w:rFonts w:ascii="方正书宋_GBK" w:eastAsia="方正书宋_GBK"/>
                <w:b/>
                <w:bCs/>
              </w:rPr>
            </w:pPr>
            <w:r>
              <w:rPr>
                <w:rFonts w:hint="eastAsia" w:ascii="宋体" w:hAnsi="宋体" w:eastAsia="宋体" w:cs="宋体"/>
                <w:i w:val="0"/>
                <w:color w:val="000000"/>
                <w:kern w:val="0"/>
                <w:sz w:val="18"/>
                <w:szCs w:val="18"/>
                <w:u w:val="none"/>
                <w:lang w:val="en-US" w:eastAsia="zh-CN" w:bidi="ar"/>
              </w:rPr>
              <w:t xml:space="preserve">6.36 </w:t>
            </w:r>
          </w:p>
        </w:tc>
        <w:tc>
          <w:tcPr>
            <w:tcW w:w="960" w:type="dxa"/>
            <w:vAlign w:val="center"/>
          </w:tcPr>
          <w:p>
            <w:pPr>
              <w:keepNext w:val="0"/>
              <w:keepLines w:val="0"/>
              <w:widowControl/>
              <w:suppressLineNumbers w:val="0"/>
              <w:jc w:val="right"/>
              <w:textAlignment w:val="center"/>
              <w:rPr>
                <w:rFonts w:ascii="方正书宋_GBK" w:eastAsia="方正书宋_GBK"/>
                <w:b/>
                <w:bCs/>
              </w:rPr>
            </w:pPr>
            <w:r>
              <w:rPr>
                <w:rFonts w:hint="eastAsia" w:ascii="宋体" w:hAnsi="宋体" w:eastAsia="宋体" w:cs="宋体"/>
                <w:i w:val="0"/>
                <w:color w:val="000000"/>
                <w:kern w:val="0"/>
                <w:sz w:val="18"/>
                <w:szCs w:val="18"/>
                <w:u w:val="none"/>
                <w:lang w:val="en-US" w:eastAsia="zh-CN" w:bidi="ar"/>
              </w:rPr>
              <w:t xml:space="preserve">6.36 </w:t>
            </w:r>
          </w:p>
        </w:tc>
        <w:tc>
          <w:tcPr>
            <w:tcW w:w="1035" w:type="dxa"/>
            <w:vAlign w:val="center"/>
          </w:tcPr>
          <w:p>
            <w:pPr>
              <w:keepNext w:val="0"/>
              <w:keepLines w:val="0"/>
              <w:widowControl/>
              <w:suppressLineNumbers w:val="0"/>
              <w:jc w:val="right"/>
              <w:textAlignment w:val="center"/>
              <w:rPr>
                <w:rFonts w:ascii="方正书宋_GBK" w:eastAsia="方正书宋_GBK"/>
                <w:b/>
                <w:bCs/>
              </w:rPr>
            </w:pPr>
            <w:r>
              <w:rPr>
                <w:rFonts w:hint="eastAsia" w:ascii="宋体" w:hAnsi="宋体" w:eastAsia="宋体" w:cs="宋体"/>
                <w:i w:val="0"/>
                <w:color w:val="000000"/>
                <w:kern w:val="0"/>
                <w:sz w:val="18"/>
                <w:szCs w:val="18"/>
                <w:u w:val="none"/>
                <w:lang w:val="en-US" w:eastAsia="zh-CN" w:bidi="ar"/>
              </w:rPr>
              <w:t xml:space="preserve">6.36 </w:t>
            </w:r>
          </w:p>
        </w:tc>
        <w:tc>
          <w:tcPr>
            <w:tcW w:w="982" w:type="dxa"/>
            <w:vAlign w:val="center"/>
          </w:tcPr>
          <w:p>
            <w:pPr>
              <w:spacing w:line="300" w:lineRule="exact"/>
              <w:jc w:val="right"/>
              <w:rPr>
                <w:rFonts w:hint="eastAsia" w:ascii="方正书宋_GBK" w:eastAsia="方正书宋_GBK"/>
                <w:b/>
                <w:lang w:val="en-US" w:eastAsia="zh-CN"/>
              </w:rPr>
            </w:pPr>
          </w:p>
        </w:tc>
        <w:tc>
          <w:tcPr>
            <w:tcW w:w="765" w:type="dxa"/>
            <w:vAlign w:val="center"/>
          </w:tcPr>
          <w:p>
            <w:pPr>
              <w:spacing w:line="300" w:lineRule="exact"/>
              <w:jc w:val="right"/>
              <w:rPr>
                <w:rFonts w:ascii="方正书宋_GBK" w:eastAsia="方正书宋_GBK"/>
                <w:b/>
              </w:rPr>
            </w:pPr>
          </w:p>
        </w:tc>
        <w:tc>
          <w:tcPr>
            <w:tcW w:w="836" w:type="dxa"/>
            <w:vAlign w:val="center"/>
          </w:tcPr>
          <w:p>
            <w:pPr>
              <w:spacing w:line="300" w:lineRule="exact"/>
              <w:jc w:val="right"/>
              <w:rPr>
                <w:rFonts w:ascii="方正书宋_GBK" w:eastAsia="方正书宋_GBK"/>
                <w:b/>
              </w:rPr>
            </w:pPr>
          </w:p>
        </w:tc>
        <w:tc>
          <w:tcPr>
            <w:tcW w:w="89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事业人员考核奖惩</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3.00 </w:t>
            </w:r>
          </w:p>
        </w:tc>
        <w:tc>
          <w:tcPr>
            <w:tcW w:w="1350" w:type="dxa"/>
            <w:vAlign w:val="center"/>
          </w:tcPr>
          <w:p>
            <w:pPr>
              <w:spacing w:line="300" w:lineRule="exact"/>
              <w:jc w:val="left"/>
              <w:rPr>
                <w:rFonts w:ascii="方正书宋_GBK" w:eastAsia="方正书宋_GBK"/>
              </w:rPr>
            </w:pPr>
            <w:r>
              <w:rPr>
                <w:rFonts w:hint="eastAsia" w:ascii="方正书宋_GBK" w:eastAsia="方正书宋_GBK"/>
                <w:lang w:val="en-US" w:eastAsia="zh-CN"/>
              </w:rPr>
              <w:t>办公消耗品</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批</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3.00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3.00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3.00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3.00 </w:t>
            </w:r>
          </w:p>
        </w:tc>
        <w:tc>
          <w:tcPr>
            <w:tcW w:w="982" w:type="dxa"/>
            <w:vAlign w:val="center"/>
          </w:tcPr>
          <w:p>
            <w:pPr>
              <w:spacing w:line="300" w:lineRule="exact"/>
              <w:jc w:val="right"/>
              <w:rPr>
                <w:rFonts w:ascii="方正书宋_GBK" w:eastAsia="方正书宋_GBK"/>
              </w:rPr>
            </w:pP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办案补助/职业技能鉴定考试考务费</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1.60 </w:t>
            </w:r>
          </w:p>
        </w:tc>
        <w:tc>
          <w:tcPr>
            <w:tcW w:w="1350" w:type="dxa"/>
            <w:vAlign w:val="center"/>
          </w:tcPr>
          <w:p>
            <w:pPr>
              <w:spacing w:line="300" w:lineRule="exact"/>
              <w:jc w:val="left"/>
              <w:rPr>
                <w:rFonts w:ascii="方正书宋_GBK" w:eastAsia="方正书宋_GBK"/>
              </w:rPr>
            </w:pPr>
            <w:r>
              <w:rPr>
                <w:rFonts w:hint="eastAsia" w:ascii="方正书宋_GBK" w:eastAsia="方正书宋_GBK"/>
                <w:lang w:eastAsia="zh-CN"/>
              </w:rPr>
              <w:t>印刷品</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批</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1.60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1.60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1.60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1.60 </w:t>
            </w:r>
          </w:p>
        </w:tc>
        <w:tc>
          <w:tcPr>
            <w:tcW w:w="982" w:type="dxa"/>
            <w:vAlign w:val="center"/>
          </w:tcPr>
          <w:p>
            <w:pPr>
              <w:spacing w:line="300" w:lineRule="exact"/>
              <w:jc w:val="right"/>
              <w:rPr>
                <w:rFonts w:ascii="方正书宋_GBK" w:eastAsia="方正书宋_GBK"/>
              </w:rPr>
            </w:pP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办案补助/其他罚没收入</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2.40 </w:t>
            </w:r>
          </w:p>
        </w:tc>
        <w:tc>
          <w:tcPr>
            <w:tcW w:w="1350" w:type="dxa"/>
            <w:vAlign w:val="center"/>
          </w:tcPr>
          <w:p>
            <w:pPr>
              <w:spacing w:line="300" w:lineRule="exact"/>
              <w:jc w:val="left"/>
              <w:rPr>
                <w:rFonts w:ascii="方正书宋_GBK" w:eastAsia="方正书宋_GBK"/>
              </w:rPr>
            </w:pPr>
            <w:r>
              <w:rPr>
                <w:rFonts w:hint="eastAsia" w:ascii="方正书宋_GBK" w:eastAsia="方正书宋_GBK"/>
                <w:lang w:val="en-US" w:eastAsia="zh-CN"/>
              </w:rPr>
              <w:t>办公消耗品</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批</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2.40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2.40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2.40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2.4</w:t>
            </w:r>
            <w:r>
              <w:rPr>
                <w:rFonts w:hint="eastAsia" w:ascii="宋体" w:hAnsi="宋体" w:cs="宋体"/>
                <w:i w:val="0"/>
                <w:color w:val="000000"/>
                <w:kern w:val="0"/>
                <w:sz w:val="18"/>
                <w:szCs w:val="18"/>
                <w:u w:val="none"/>
                <w:lang w:val="en-US" w:eastAsia="zh-CN" w:bidi="ar"/>
              </w:rPr>
              <w:t>0</w:t>
            </w:r>
          </w:p>
        </w:tc>
        <w:tc>
          <w:tcPr>
            <w:tcW w:w="982" w:type="dxa"/>
            <w:vAlign w:val="center"/>
          </w:tcPr>
          <w:p>
            <w:pPr>
              <w:spacing w:line="300" w:lineRule="exact"/>
              <w:jc w:val="right"/>
              <w:rPr>
                <w:rFonts w:ascii="方正书宋_GBK" w:eastAsia="方正书宋_GBK"/>
              </w:rPr>
            </w:pP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hint="default" w:ascii="方正书宋_GBK" w:eastAsia="方正书宋_GBK"/>
                <w:lang w:val="en-US"/>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劳动仲裁</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2.00 </w:t>
            </w:r>
          </w:p>
        </w:tc>
        <w:tc>
          <w:tcPr>
            <w:tcW w:w="1350" w:type="dxa"/>
            <w:vAlign w:val="center"/>
          </w:tcPr>
          <w:p>
            <w:pPr>
              <w:spacing w:line="300" w:lineRule="exact"/>
              <w:jc w:val="left"/>
              <w:rPr>
                <w:rFonts w:ascii="方正书宋_GBK" w:eastAsia="方正书宋_GBK"/>
              </w:rPr>
            </w:pPr>
            <w:r>
              <w:rPr>
                <w:rFonts w:hint="eastAsia" w:ascii="方正书宋_GBK" w:eastAsia="方正书宋_GBK"/>
                <w:lang w:eastAsia="zh-CN"/>
              </w:rPr>
              <w:t>印刷品</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批</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2.00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2.00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2.00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2.00 </w:t>
            </w:r>
          </w:p>
        </w:tc>
        <w:tc>
          <w:tcPr>
            <w:tcW w:w="982" w:type="dxa"/>
            <w:vAlign w:val="center"/>
          </w:tcPr>
          <w:p>
            <w:pPr>
              <w:spacing w:line="300" w:lineRule="exact"/>
              <w:jc w:val="right"/>
              <w:rPr>
                <w:rFonts w:ascii="方正书宋_GBK" w:eastAsia="方正书宋_GBK"/>
              </w:rPr>
            </w:pP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劳动监察</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1.00 </w:t>
            </w:r>
          </w:p>
        </w:tc>
        <w:tc>
          <w:tcPr>
            <w:tcW w:w="1350" w:type="dxa"/>
            <w:vAlign w:val="center"/>
          </w:tcPr>
          <w:p>
            <w:pPr>
              <w:spacing w:line="300" w:lineRule="exact"/>
              <w:jc w:val="left"/>
              <w:rPr>
                <w:rFonts w:ascii="方正书宋_GBK" w:eastAsia="方正书宋_GBK"/>
              </w:rPr>
            </w:pPr>
            <w:r>
              <w:rPr>
                <w:rFonts w:hint="eastAsia" w:ascii="方正书宋_GBK" w:eastAsia="方正书宋_GBK"/>
                <w:lang w:eastAsia="zh-CN"/>
              </w:rPr>
              <w:t>印刷品</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批</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1.00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1.00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1.00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1.00 </w:t>
            </w:r>
          </w:p>
        </w:tc>
        <w:tc>
          <w:tcPr>
            <w:tcW w:w="982" w:type="dxa"/>
            <w:vAlign w:val="center"/>
          </w:tcPr>
          <w:p>
            <w:pPr>
              <w:spacing w:line="300" w:lineRule="exact"/>
              <w:jc w:val="right"/>
              <w:rPr>
                <w:rFonts w:ascii="方正书宋_GBK" w:eastAsia="方正书宋_GBK"/>
              </w:rPr>
            </w:pP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人力资源培训</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3.00 </w:t>
            </w:r>
          </w:p>
        </w:tc>
        <w:tc>
          <w:tcPr>
            <w:tcW w:w="1350"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eastAsia="zh-CN"/>
              </w:rPr>
              <w:t>就业服务</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年</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3.00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3.00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3.00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3.00 </w:t>
            </w:r>
          </w:p>
        </w:tc>
        <w:tc>
          <w:tcPr>
            <w:tcW w:w="982" w:type="dxa"/>
            <w:vAlign w:val="center"/>
          </w:tcPr>
          <w:p>
            <w:pPr>
              <w:spacing w:line="300" w:lineRule="exact"/>
              <w:jc w:val="right"/>
              <w:rPr>
                <w:rFonts w:ascii="方正书宋_GBK" w:eastAsia="方正书宋_GBK"/>
              </w:rPr>
            </w:pP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土地出让金/隆尧县人力资源和社会保障综合服务中心和县交运局项目变更追加-垃圾清理及土方回填</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39.23 </w:t>
            </w:r>
          </w:p>
        </w:tc>
        <w:tc>
          <w:tcPr>
            <w:tcW w:w="1350"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行政单位用房施工</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个</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39.23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39.23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39.23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p>
        </w:tc>
        <w:tc>
          <w:tcPr>
            <w:tcW w:w="982"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39.23 </w:t>
            </w: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土地出让金/隆尧县人力资源和社会保障综合服务中心和县交运局项目变更追加-干挂石材、砖</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43.15 </w:t>
            </w:r>
          </w:p>
        </w:tc>
        <w:tc>
          <w:tcPr>
            <w:tcW w:w="1350" w:type="dxa"/>
            <w:vAlign w:val="center"/>
          </w:tcPr>
          <w:p>
            <w:pPr>
              <w:spacing w:line="300" w:lineRule="exact"/>
              <w:jc w:val="left"/>
              <w:rPr>
                <w:rFonts w:ascii="方正书宋_GBK" w:eastAsia="方正书宋_GBK"/>
              </w:rPr>
            </w:pPr>
            <w:r>
              <w:rPr>
                <w:rFonts w:hint="eastAsia" w:ascii="方正书宋_GBK" w:eastAsia="方正书宋_GBK"/>
                <w:lang w:val="en-US" w:eastAsia="zh-CN"/>
              </w:rPr>
              <w:t>行政单位用房施工</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个</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43.15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43.15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43.15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p>
        </w:tc>
        <w:tc>
          <w:tcPr>
            <w:tcW w:w="982"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43.15 </w:t>
            </w: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土地出让金/隆尧县公职人员信息管理中心项目</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60.00 </w:t>
            </w:r>
          </w:p>
        </w:tc>
        <w:tc>
          <w:tcPr>
            <w:tcW w:w="1350"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行政单位用房施工</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个</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60.00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60.00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60.00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p>
        </w:tc>
        <w:tc>
          <w:tcPr>
            <w:tcW w:w="982"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60.00 </w:t>
            </w: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土地出让金/隆尧县人力资源和社会保障综合服务中心和县交运局项目变更追加-玻璃幕墙</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40.00 </w:t>
            </w:r>
          </w:p>
        </w:tc>
        <w:tc>
          <w:tcPr>
            <w:tcW w:w="1350"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行政单位用房施工</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个</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40.00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40.00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40.00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p>
        </w:tc>
        <w:tc>
          <w:tcPr>
            <w:tcW w:w="982"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40.00 </w:t>
            </w: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土地出让金/隆尧县人力资源和社会保障综合服务中心和县交运局项目</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200.00 </w:t>
            </w:r>
          </w:p>
        </w:tc>
        <w:tc>
          <w:tcPr>
            <w:tcW w:w="1350"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行政单位用房施工</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个</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200.00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200.00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200.00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p>
        </w:tc>
        <w:tc>
          <w:tcPr>
            <w:tcW w:w="982"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200.00 </w:t>
            </w: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土地出让金/隆尧县人力资源和社会保障综合服务中心和县交运局项目城市基础设施配套费和防空易地建设</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37.96 </w:t>
            </w:r>
          </w:p>
        </w:tc>
        <w:tc>
          <w:tcPr>
            <w:tcW w:w="1350" w:type="dxa"/>
            <w:vAlign w:val="center"/>
          </w:tcPr>
          <w:p>
            <w:pPr>
              <w:spacing w:line="300" w:lineRule="exact"/>
              <w:jc w:val="left"/>
              <w:rPr>
                <w:rFonts w:ascii="方正书宋_GBK" w:eastAsia="方正书宋_GBK"/>
              </w:rPr>
            </w:pPr>
            <w:r>
              <w:rPr>
                <w:rFonts w:hint="eastAsia" w:ascii="方正书宋_GBK" w:eastAsia="方正书宋_GBK"/>
                <w:lang w:val="en-US" w:eastAsia="zh-CN"/>
              </w:rPr>
              <w:t>行政单位用房施工</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个</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37.96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37.96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37.96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p>
        </w:tc>
        <w:tc>
          <w:tcPr>
            <w:tcW w:w="982"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37.96 </w:t>
            </w: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隆尧县人力资源和社会保障综合服务中心和县交运局项目-网络综合布线</w:t>
            </w:r>
          </w:p>
        </w:tc>
        <w:tc>
          <w:tcPr>
            <w:tcW w:w="84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19.50 </w:t>
            </w:r>
          </w:p>
        </w:tc>
        <w:tc>
          <w:tcPr>
            <w:tcW w:w="1350"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eastAsia="zh-CN"/>
              </w:rPr>
              <w:t>计算机网络系统工程</w:t>
            </w:r>
          </w:p>
        </w:tc>
        <w:tc>
          <w:tcPr>
            <w:tcW w:w="859" w:type="dxa"/>
            <w:vAlign w:val="center"/>
          </w:tcPr>
          <w:p>
            <w:pPr>
              <w:spacing w:line="300" w:lineRule="exact"/>
              <w:jc w:val="left"/>
              <w:rPr>
                <w:rFonts w:ascii="方正书宋_GBK" w:eastAsia="方正书宋_GBK"/>
              </w:rPr>
            </w:pPr>
          </w:p>
        </w:tc>
        <w:tc>
          <w:tcPr>
            <w:tcW w:w="614"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项</w:t>
            </w:r>
          </w:p>
        </w:tc>
        <w:tc>
          <w:tcPr>
            <w:tcW w:w="490"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cs="宋体"/>
                <w:i w:val="0"/>
                <w:color w:val="auto"/>
                <w:kern w:val="0"/>
                <w:sz w:val="18"/>
                <w:szCs w:val="18"/>
                <w:u w:val="none"/>
                <w:lang w:val="en-US" w:eastAsia="zh-CN" w:bidi="ar"/>
              </w:rPr>
              <w:t>1</w:t>
            </w:r>
          </w:p>
        </w:tc>
        <w:tc>
          <w:tcPr>
            <w:tcW w:w="816"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 xml:space="preserve">19.50 </w:t>
            </w:r>
          </w:p>
        </w:tc>
        <w:tc>
          <w:tcPr>
            <w:tcW w:w="1008"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19.50 </w:t>
            </w:r>
          </w:p>
        </w:tc>
        <w:tc>
          <w:tcPr>
            <w:tcW w:w="960"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19.50 </w:t>
            </w:r>
          </w:p>
        </w:tc>
        <w:tc>
          <w:tcPr>
            <w:tcW w:w="1035" w:type="dxa"/>
            <w:vAlign w:val="center"/>
          </w:tcPr>
          <w:p>
            <w:pPr>
              <w:keepNext w:val="0"/>
              <w:keepLines w:val="0"/>
              <w:widowControl/>
              <w:suppressLineNumbers w:val="0"/>
              <w:jc w:val="right"/>
              <w:textAlignment w:val="center"/>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19.50 </w:t>
            </w:r>
          </w:p>
        </w:tc>
        <w:tc>
          <w:tcPr>
            <w:tcW w:w="982" w:type="dxa"/>
            <w:vAlign w:val="center"/>
          </w:tcPr>
          <w:p>
            <w:pPr>
              <w:spacing w:line="300" w:lineRule="exact"/>
              <w:jc w:val="right"/>
              <w:rPr>
                <w:rFonts w:ascii="方正书宋_GBK" w:eastAsia="方正书宋_GBK"/>
              </w:rPr>
            </w:pPr>
          </w:p>
        </w:tc>
        <w:tc>
          <w:tcPr>
            <w:tcW w:w="765" w:type="dxa"/>
            <w:vAlign w:val="center"/>
          </w:tcPr>
          <w:p>
            <w:pPr>
              <w:spacing w:line="300" w:lineRule="exact"/>
              <w:jc w:val="right"/>
              <w:rPr>
                <w:rFonts w:ascii="方正书宋_GBK" w:eastAsia="方正书宋_GBK"/>
              </w:rPr>
            </w:pPr>
          </w:p>
        </w:tc>
        <w:tc>
          <w:tcPr>
            <w:tcW w:w="836"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隆尧县人力资源和社会保障局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369.88</w:t>
      </w:r>
      <w:r>
        <w:rPr>
          <w:rFonts w:ascii="Times New Roman" w:hAnsi="Times New Roman" w:eastAsia="仿宋" w:cs="Times New Roman"/>
          <w:color w:val="000000"/>
          <w:sz w:val="32"/>
          <w:szCs w:val="32"/>
        </w:rPr>
        <w:t>万元（详见下表），本年度拟购置固定资产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439.84</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val="en-US" w:eastAsia="zh-CN"/>
        </w:rPr>
        <w:t>行政单位用房施工</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隆尧县县</w:t>
            </w:r>
            <w:r>
              <w:rPr>
                <w:rFonts w:hint="eastAsia" w:ascii="宋体" w:hAnsi="宋体" w:cs="宋体"/>
                <w:b/>
                <w:bCs/>
                <w:kern w:val="0"/>
                <w:sz w:val="32"/>
                <w:szCs w:val="32"/>
              </w:rPr>
              <w:t>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隆尧县人力资源和社会保障局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w:t>
            </w:r>
            <w:r>
              <w:rPr>
                <w:rFonts w:hint="eastAsia" w:ascii="宋体" w:hAnsi="宋体" w:cs="宋体"/>
                <w:b/>
                <w:bCs/>
                <w:kern w:val="0"/>
                <w:sz w:val="22"/>
                <w:lang w:eastAsia="zh-CN"/>
              </w:rPr>
              <w:t>万</w:t>
            </w:r>
            <w:r>
              <w:rPr>
                <w:rFonts w:hint="eastAsia" w:ascii="宋体" w:hAnsi="宋体" w:cs="宋体"/>
                <w:b/>
                <w:bCs/>
                <w:kern w:val="0"/>
                <w:sz w:val="22"/>
              </w:rPr>
              <w:t>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369.88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2652.5</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rPr>
              <w:t>152</w:t>
            </w:r>
            <w:r>
              <w:rPr>
                <w:rFonts w:hint="eastAsia" w:ascii="Times New Roman" w:hAnsi="Times New Roman" w:eastAsia="仿宋" w:cs="Times New Roman"/>
                <w:kern w:val="0"/>
                <w:sz w:val="22"/>
                <w:lang w:val="en-US" w:eastAsia="zh-CN"/>
              </w:rPr>
              <w:t>.12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2652.5</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152</w:t>
            </w:r>
            <w:r>
              <w:rPr>
                <w:rFonts w:hint="eastAsia" w:ascii="Times New Roman" w:hAnsi="Times New Roman" w:eastAsia="仿宋" w:cs="Times New Roman"/>
                <w:kern w:val="0"/>
                <w:sz w:val="22"/>
                <w:lang w:val="en-US" w:eastAsia="zh-CN"/>
              </w:rPr>
              <w:t>.12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217.76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宋体"/>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1ABD5382"/>
    <w:rsid w:val="27BD1192"/>
    <w:rsid w:val="4B2E05B6"/>
    <w:rsid w:val="62C21C5D"/>
    <w:rsid w:val="6DB75D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0</TotalTime>
  <ScaleCrop>false</ScaleCrop>
  <LinksUpToDate>false</LinksUpToDate>
  <CharactersWithSpaces>8841</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红利</cp:lastModifiedBy>
  <cp:lastPrinted>2020-01-10T15:53:00Z</cp:lastPrinted>
  <dcterms:modified xsi:type="dcterms:W3CDTF">2021-05-25T07:47:13Z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4DD2D4283F5F4A6C91ECD4547241606A</vt:lpwstr>
  </property>
</Properties>
</file>