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ind w:firstLine="3080" w:firstLineChars="700"/>
        <w:jc w:val="both"/>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隆尧县供销合作社</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按照《预算法》、《地方预决算公开操作规程》和《河北省省级预算公开办法》规定，现将隆尧县供销合作社</w:t>
      </w:r>
      <w:r>
        <w:rPr>
          <w:rFonts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hint="eastAsia" w:ascii="仿宋" w:hAnsi="仿宋" w:eastAsia="仿宋" w:cs="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仿宋"/>
          <w:sz w:val="32"/>
          <w:szCs w:val="32"/>
        </w:rPr>
        <w:t>隆尧县供销合作社为隆尧县政府管理的相当正科级事业单位。（</w:t>
      </w:r>
      <w:r>
        <w:rPr>
          <w:rFonts w:hint="eastAsia" w:ascii="仿宋" w:hAnsi="仿宋" w:eastAsia="仿宋" w:cs="仿宋"/>
          <w:color w:val="000000"/>
          <w:kern w:val="0"/>
          <w:sz w:val="24"/>
          <w:szCs w:val="24"/>
          <w:lang w:val="en-US" w:eastAsia="zh-CN"/>
        </w:rPr>
        <w:t>1</w:t>
      </w:r>
      <w:r>
        <w:rPr>
          <w:rFonts w:hint="eastAsia" w:ascii="仿宋" w:hAnsi="仿宋" w:eastAsia="仿宋" w:cs="仿宋"/>
          <w:sz w:val="32"/>
          <w:szCs w:val="32"/>
        </w:rPr>
        <w:t>）负责贯彻执行中央、省市有关农村经济工作和社会发展的方针、政策，执行政府授权的管理职能，指导和布局农村经济发展，沟通城乡物资交流，协助工商部门管理好农村市场，指导供销合作社的改革和发展，向政府和有关部门反应农民的意见和要求。</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（2）为农业生产服务。按政府授权，对重要的农业生产资料实施管理，组织和协调，草拟制定管理办法。</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（3）为农村和农民服务。建立和逐步完善综合服务体系，为发展农村经济，为发展“三高”农业提供产前、产中、产后的服务。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（4）对废旧物资回收和烟花炮竹工作实施管理，核发特种行业经营许可证，配合公安部门对废旧物资经营点和烟花炮竹经营点进行检查，堵塞治安漏洞。</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（5）受政府委托，宣传国家关于食用碘盐的政策和要求，配合卫生、工商、盐业管理部门管好食盐和工业用盐市场，防止私盐流入。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（6）负责制定供销合作社的发展战略和中长期发展规划、经营网点及大型商场的设置规划、固定资产项目投资规划。</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（7）参与系统的各项活动，组织对外、对内经济贸易、技术交流，促进供销社的发展。</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（8）管理直属单位资产、行使集体资产所有者代表和管理者的职能，指导基层社管好其所属的社有资产，理顺和化解债权债务，防止社有资产流失。</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（9）负责“三防”抢险物资的组织、储备和供应工作。</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center"/>
              <w:rPr>
                <w:rFonts w:ascii="Times New Roman" w:hAnsi="Times New Roman" w:eastAsia="方正书宋_GBK" w:cs="Times New Roman"/>
                <w:szCs w:val="24"/>
              </w:rPr>
            </w:pPr>
            <w:r>
              <w:rPr>
                <w:rFonts w:hint="eastAsia" w:ascii="仿宋" w:hAnsi="仿宋" w:eastAsia="仿宋" w:cs="仿宋"/>
              </w:rPr>
              <w:t>隆尧县供销合作社</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仿宋" w:hAnsi="仿宋" w:eastAsia="仿宋" w:cs="仿宋"/>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仿宋" w:hAnsi="仿宋" w:eastAsia="仿宋" w:cs="仿宋"/>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仿宋" w:hAnsi="仿宋" w:eastAsia="仿宋" w:cs="仿宋"/>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方正书宋_GBK" w:eastAsia="方正书宋_GBK"/>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方正书宋_GBK" w:eastAsia="方正书宋_GBK"/>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按照预算管理有关规定，目前我省部门预算的编制实行综合预算管理，即全部收入和支出都反映的预算中。隆尧县供销合作社的所有收支在部门预算中。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263.25</w:t>
      </w:r>
      <w:r>
        <w:rPr>
          <w:rFonts w:hint="eastAsia" w:ascii="Times New Roman" w:hAnsi="Times New Roman" w:eastAsia="仿宋" w:cs="Times New Roman"/>
          <w:sz w:val="32"/>
          <w:szCs w:val="32"/>
        </w:rPr>
        <w:t>万元，其中：一般公共预算收</w:t>
      </w:r>
      <w:r>
        <w:rPr>
          <w:rFonts w:hint="eastAsia" w:ascii="Times New Roman" w:hAnsi="Times New Roman" w:eastAsia="仿宋" w:cs="Times New Roman"/>
          <w:sz w:val="32"/>
          <w:szCs w:val="32"/>
          <w:lang w:eastAsia="zh-CN"/>
        </w:rPr>
        <w:t>入</w:t>
      </w:r>
      <w:r>
        <w:rPr>
          <w:rFonts w:hint="eastAsia" w:ascii="Times New Roman" w:hAnsi="Times New Roman" w:eastAsia="仿宋" w:cs="Times New Roman"/>
          <w:sz w:val="32"/>
          <w:szCs w:val="32"/>
          <w:lang w:val="en-US" w:eastAsia="zh-CN"/>
        </w:rPr>
        <w:t>263.25</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收支预算总表支出栏、基本支出表、项目支出表按经济分类和支出功能分类科目编制，反映隆尧县供销合作社年度部门预算中支出预算的总体情况。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263.</w:t>
      </w:r>
      <w:r>
        <w:rPr>
          <w:rFonts w:hint="eastAsia" w:ascii="Times New Roman" w:hAnsi="Times New Roman" w:eastAsia="仿宋" w:cs="Times New Roman"/>
          <w:sz w:val="32"/>
          <w:szCs w:val="32"/>
          <w:lang w:val="en-US" w:eastAsia="zh-CN"/>
        </w:rPr>
        <w:t>25</w:t>
      </w:r>
      <w:r>
        <w:rPr>
          <w:rFonts w:hint="eastAsia" w:ascii="Times New Roman" w:hAnsi="Times New Roman" w:eastAsia="仿宋" w:cs="仿宋"/>
          <w:sz w:val="32"/>
          <w:szCs w:val="32"/>
        </w:rPr>
        <w:t>万元，其中基本支出</w:t>
      </w:r>
      <w:r>
        <w:rPr>
          <w:rFonts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58.25</w:t>
      </w:r>
      <w:r>
        <w:rPr>
          <w:rFonts w:hint="eastAsia" w:ascii="Times New Roman" w:hAnsi="Times New Roman" w:eastAsia="仿宋" w:cs="仿宋"/>
          <w:sz w:val="32"/>
          <w:szCs w:val="32"/>
        </w:rPr>
        <w:t>万元，包括人员经费</w:t>
      </w:r>
      <w:r>
        <w:rPr>
          <w:rFonts w:hint="eastAsia" w:ascii="Times New Roman" w:hAnsi="Times New Roman" w:eastAsia="仿宋" w:cs="仿宋"/>
          <w:sz w:val="32"/>
          <w:szCs w:val="32"/>
          <w:lang w:val="en-US" w:eastAsia="zh-CN"/>
        </w:rPr>
        <w:t>240.06</w:t>
      </w:r>
      <w:r>
        <w:rPr>
          <w:rFonts w:hint="eastAsia" w:ascii="Times New Roman" w:hAnsi="Times New Roman" w:eastAsia="仿宋" w:cs="仿宋"/>
          <w:sz w:val="32"/>
          <w:szCs w:val="32"/>
        </w:rPr>
        <w:t>万元和日常公用经费</w:t>
      </w:r>
      <w:r>
        <w:rPr>
          <w:rFonts w:hint="eastAsia" w:ascii="Times New Roman" w:hAnsi="Times New Roman" w:eastAsia="仿宋" w:cs="仿宋"/>
          <w:sz w:val="32"/>
          <w:szCs w:val="32"/>
          <w:lang w:val="en-US" w:eastAsia="zh-CN"/>
        </w:rPr>
        <w:t>18.19</w:t>
      </w:r>
      <w:r>
        <w:rPr>
          <w:rFonts w:hint="eastAsia" w:ascii="Times New Roman" w:hAnsi="Times New Roman" w:eastAsia="仿宋" w:cs="仿宋"/>
          <w:sz w:val="32"/>
          <w:szCs w:val="32"/>
        </w:rPr>
        <w:t>万元；项目支出</w:t>
      </w:r>
      <w:r>
        <w:rPr>
          <w:rFonts w:hint="eastAsia" w:ascii="Times New Roman" w:hAnsi="Times New Roman" w:eastAsia="仿宋" w:cs="仿宋"/>
          <w:sz w:val="32"/>
          <w:szCs w:val="32"/>
          <w:lang w:val="en-US" w:eastAsia="zh-CN"/>
        </w:rPr>
        <w:t>5</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rPr>
        <w:t>主要为合作组织培训经费支出</w:t>
      </w:r>
      <w:r>
        <w:rPr>
          <w:rFonts w:hint="eastAsia" w:ascii="Times New Roman" w:hAnsi="Times New Roman" w:eastAsia="仿宋" w:cs="仿宋"/>
          <w:sz w:val="32"/>
          <w:szCs w:val="32"/>
          <w:lang w:val="en-US" w:eastAsia="zh-CN"/>
        </w:rPr>
        <w:t>3</w:t>
      </w:r>
      <w:r>
        <w:rPr>
          <w:rFonts w:hint="eastAsia" w:ascii="Times New Roman" w:hAnsi="Times New Roman" w:eastAsia="仿宋" w:cs="仿宋"/>
          <w:sz w:val="32"/>
          <w:szCs w:val="32"/>
        </w:rPr>
        <w:t>万元，农村产权交易市场支出</w:t>
      </w:r>
      <w:r>
        <w:rPr>
          <w:rFonts w:ascii="Times New Roman" w:hAnsi="Times New Roman" w:eastAsia="仿宋" w:cs="Times New Roman"/>
          <w:sz w:val="32"/>
          <w:szCs w:val="32"/>
        </w:rPr>
        <w:t>2</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color w:val="000000"/>
          <w:sz w:val="32"/>
          <w:szCs w:val="32"/>
          <w:lang w:val="en-US" w:eastAsia="zh-CN"/>
        </w:rPr>
        <w:t>263.25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0.39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14.65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日常公用经费增加</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15</w:t>
      </w:r>
      <w:r>
        <w:rPr>
          <w:rFonts w:hint="eastAsia" w:ascii="Times New Roman" w:hAnsi="Times New Roman" w:eastAsia="仿宋" w:cs="Times New Roman"/>
          <w:sz w:val="32"/>
          <w:szCs w:val="32"/>
        </w:rPr>
        <w:t>万元，主要</w:t>
      </w:r>
      <w:r>
        <w:rPr>
          <w:rFonts w:hint="eastAsia" w:ascii="Times New Roman" w:hAnsi="Times New Roman" w:eastAsia="仿宋" w:cs="Times New Roman"/>
          <w:sz w:val="32"/>
          <w:szCs w:val="32"/>
          <w:lang w:eastAsia="zh-CN"/>
        </w:rPr>
        <w:t>是盐业改革等项目已完成</w:t>
      </w:r>
      <w:r>
        <w:rPr>
          <w:rFonts w:hint="eastAsia" w:ascii="Times New Roman" w:hAnsi="Times New Roman" w:eastAsia="仿宋" w:cs="Times New Roman"/>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w:t>
      </w:r>
      <w:r>
        <w:rPr>
          <w:rFonts w:hint="eastAsia" w:ascii="Times New Roman" w:hAnsi="Times New Roman" w:eastAsia="仿宋" w:cs="仿宋"/>
          <w:sz w:val="32"/>
          <w:szCs w:val="32"/>
        </w:rPr>
        <w:t>我部门机关运行经费共计安排</w:t>
      </w:r>
      <w:r>
        <w:rPr>
          <w:rFonts w:hint="eastAsia" w:ascii="Times New Roman" w:hAnsi="Times New Roman" w:eastAsia="仿宋" w:cs="Times New Roman"/>
          <w:sz w:val="32"/>
          <w:szCs w:val="32"/>
          <w:lang w:val="en-US" w:eastAsia="zh-CN"/>
        </w:rPr>
        <w:t>5.53</w:t>
      </w:r>
      <w:r>
        <w:rPr>
          <w:rFonts w:hint="eastAsia" w:ascii="Times New Roman" w:hAnsi="Times New Roman" w:eastAsia="仿宋" w:cs="仿宋"/>
          <w:sz w:val="32"/>
          <w:szCs w:val="32"/>
        </w:rPr>
        <w:t>万元，</w:t>
      </w:r>
      <w:r>
        <w:rPr>
          <w:rFonts w:hint="eastAsia" w:ascii="Times New Roman" w:hAnsi="Times New Roman" w:eastAsia="仿宋" w:cs="Times New Roman"/>
          <w:sz w:val="32"/>
          <w:szCs w:val="32"/>
        </w:rPr>
        <w:t>主要用于保证机关正常运转的办公费、福利费、</w:t>
      </w:r>
      <w:r>
        <w:rPr>
          <w:rFonts w:hint="eastAsia" w:ascii="Times New Roman" w:hAnsi="Times New Roman" w:eastAsia="仿宋" w:cs="Times New Roman"/>
          <w:sz w:val="32"/>
          <w:szCs w:val="32"/>
          <w:lang w:eastAsia="zh-CN"/>
        </w:rPr>
        <w:t>工会经费、党活动经费等</w:t>
      </w:r>
      <w:r>
        <w:rPr>
          <w:rFonts w:hint="eastAsia" w:ascii="Times New Roman" w:hAnsi="Times New Roman" w:eastAsia="仿宋" w:cs="Times New Roman"/>
          <w:sz w:val="32"/>
          <w:szCs w:val="32"/>
        </w:rPr>
        <w:t>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w:t>
      </w:r>
      <w:r>
        <w:rPr>
          <w:rFonts w:hint="eastAsia" w:ascii="Times New Roman" w:hAnsi="Times New Roman" w:eastAsia="仿宋" w:cs="仿宋"/>
          <w:sz w:val="32"/>
          <w:szCs w:val="32"/>
        </w:rPr>
        <w:t>我部门财政拨款“三公”经费预算安排</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与上年持平</w:t>
      </w:r>
      <w:r>
        <w:rPr>
          <w:rFonts w:hint="eastAsia" w:ascii="Times New Roman" w:hAnsi="Times New Roman" w:eastAsia="仿宋" w:cs="仿宋"/>
          <w:sz w:val="32"/>
          <w:szCs w:val="32"/>
        </w:rPr>
        <w:t>；</w:t>
      </w:r>
      <w:r>
        <w:rPr>
          <w:rFonts w:hint="eastAsia" w:ascii="Times New Roman" w:hAnsi="Times New Roman" w:eastAsia="仿宋" w:cs="仿宋"/>
          <w:sz w:val="32"/>
          <w:szCs w:val="32"/>
          <w:lang w:eastAsia="zh-CN"/>
        </w:rPr>
        <w:t>主要原因是</w:t>
      </w:r>
      <w:r>
        <w:rPr>
          <w:rFonts w:hint="eastAsia" w:ascii="Times New Roman" w:hAnsi="Times New Roman" w:eastAsia="仿宋" w:cs="仿宋"/>
          <w:sz w:val="32"/>
          <w:szCs w:val="32"/>
        </w:rPr>
        <w:t>因公车改革，取消公车</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rPr>
        <w:t>公务接待费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，与上年持平，无增减变化</w:t>
      </w:r>
      <w:r>
        <w:rPr>
          <w:rFonts w:hint="eastAsia" w:ascii="Times New Roman" w:hAnsi="Times New Roman" w:eastAsia="仿宋" w:cs="仿宋"/>
          <w:sz w:val="32"/>
          <w:szCs w:val="32"/>
        </w:rPr>
        <w:t>。</w:t>
      </w:r>
      <w:r>
        <w:rPr>
          <w:rFonts w:hint="eastAsia" w:ascii="Times New Roman" w:hAnsi="Times New Roman" w:eastAsia="仿宋" w:cs="仿宋"/>
          <w:sz w:val="32"/>
          <w:szCs w:val="32"/>
          <w:lang w:eastAsia="zh-CN"/>
        </w:rPr>
        <w:t>主要原因是保证机关平稳运行</w:t>
      </w:r>
      <w:r>
        <w:rPr>
          <w:rFonts w:hint="eastAsia" w:ascii="Times New Roman" w:hAnsi="Times New Roman" w:eastAsia="仿宋" w:cs="仿宋"/>
          <w:sz w:val="32"/>
          <w:szCs w:val="32"/>
        </w:rPr>
        <w:t>。</w:t>
      </w:r>
      <w:bookmarkStart w:id="5" w:name="_GoBack"/>
      <w:bookmarkEnd w:id="5"/>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仿宋"/>
          <w:sz w:val="32"/>
          <w:szCs w:val="32"/>
        </w:rPr>
        <w:t>我部门财政拨款“三公”经费预算安排</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ascii="Times New Roman" w:hAnsi="Times New Roman" w:eastAsia="仿宋" w:cs="Times New Roman"/>
          <w:sz w:val="32"/>
          <w:szCs w:val="32"/>
        </w:rPr>
        <w:t>0</w:t>
      </w:r>
      <w:r>
        <w:rPr>
          <w:rFonts w:hint="eastAsia" w:ascii="Times New Roman" w:hAnsi="Times New Roman" w:eastAsia="仿宋" w:cs="仿宋"/>
          <w:sz w:val="32"/>
          <w:szCs w:val="32"/>
        </w:rPr>
        <w:t>万元。“三公”经费与上年减少，因公车改革，取消公车。</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left="638" w:leftChars="304" w:firstLine="640" w:firstLineChars="200"/>
        <w:rPr>
          <w:rFonts w:ascii="仿宋" w:hAnsi="仿宋" w:eastAsia="仿宋" w:cs="Times New Roman"/>
          <w:sz w:val="32"/>
          <w:szCs w:val="32"/>
        </w:rPr>
      </w:pPr>
      <w:r>
        <w:rPr>
          <w:rFonts w:hint="eastAsia" w:ascii="仿宋" w:hAnsi="仿宋" w:eastAsia="仿宋" w:cs="仿宋"/>
          <w:sz w:val="32"/>
          <w:szCs w:val="32"/>
        </w:rPr>
        <w:t>县供销社以中华全国供销合作总社对供销合作社薄弱与空白县经营服务网络振兴工作方案为契机，乘势而进，结合本社实际，迅速拟定</w:t>
      </w:r>
      <w:r>
        <w:rPr>
          <w:rFonts w:ascii="仿宋" w:hAnsi="仿宋" w:eastAsia="仿宋" w:cs="仿宋"/>
          <w:sz w:val="32"/>
          <w:szCs w:val="32"/>
        </w:rPr>
        <w:t>201</w:t>
      </w:r>
      <w:r>
        <w:rPr>
          <w:rFonts w:hint="eastAsia" w:ascii="仿宋" w:hAnsi="仿宋" w:eastAsia="仿宋" w:cs="仿宋"/>
          <w:sz w:val="32"/>
          <w:szCs w:val="32"/>
          <w:lang w:val="en-US" w:eastAsia="zh-CN"/>
        </w:rPr>
        <w:t>9</w:t>
      </w:r>
      <w:r>
        <w:rPr>
          <w:rFonts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年经营网络振兴规划，力争纳入全国供销合作总社经营网络振兴规划社。</w:t>
      </w:r>
    </w:p>
    <w:p>
      <w:pPr>
        <w:spacing w:line="500" w:lineRule="exact"/>
        <w:ind w:left="319" w:leftChars="152" w:firstLine="320" w:firstLineChars="100"/>
        <w:rPr>
          <w:rFonts w:ascii="仿宋" w:hAnsi="仿宋" w:eastAsia="仿宋" w:cs="Times New Roman"/>
          <w:sz w:val="32"/>
          <w:szCs w:val="32"/>
        </w:rPr>
      </w:pPr>
      <w:r>
        <w:rPr>
          <w:rFonts w:hint="eastAsia" w:ascii="仿宋" w:hAnsi="仿宋" w:eastAsia="仿宋" w:cs="仿宋"/>
          <w:sz w:val="32"/>
          <w:szCs w:val="32"/>
        </w:rPr>
        <w:t>经营网络振兴规划的主要内容：是以建立新型流通网络和新型合作制为主导，着力推进供销社组织创新、经营创新、服务创新和网络振兴，着力构建农村合作经济体系，着力完善农村现代流通服务体系，着力强化农村社区服务体系为主要内容，使供销社真正成为农民合作经济的带动力量、主导力量和骨干力量。</w:t>
      </w:r>
    </w:p>
    <w:p>
      <w:pPr>
        <w:spacing w:line="500" w:lineRule="exact"/>
        <w:ind w:left="319" w:leftChars="152" w:firstLine="720" w:firstLineChars="225"/>
        <w:rPr>
          <w:rFonts w:ascii="仿宋" w:hAnsi="仿宋" w:eastAsia="仿宋" w:cs="Times New Roman"/>
          <w:sz w:val="32"/>
          <w:szCs w:val="32"/>
        </w:rPr>
      </w:pPr>
      <w:r>
        <w:rPr>
          <w:rFonts w:hint="eastAsia" w:ascii="仿宋" w:hAnsi="仿宋" w:eastAsia="仿宋" w:cs="仿宋"/>
          <w:sz w:val="32"/>
          <w:szCs w:val="32"/>
        </w:rPr>
        <w:t>经营网络振兴规划的主要步骤：从现在起用</w:t>
      </w:r>
      <w:r>
        <w:rPr>
          <w:rFonts w:ascii="仿宋" w:hAnsi="仿宋" w:eastAsia="仿宋" w:cs="仿宋"/>
          <w:sz w:val="32"/>
          <w:szCs w:val="32"/>
        </w:rPr>
        <w:t>3—5</w:t>
      </w:r>
      <w:r>
        <w:rPr>
          <w:rFonts w:hint="eastAsia" w:ascii="仿宋" w:hAnsi="仿宋" w:eastAsia="仿宋" w:cs="仿宋"/>
          <w:sz w:val="32"/>
          <w:szCs w:val="32"/>
        </w:rPr>
        <w:t>年时间，逐步构建完善县域农资配送中心、日用品配送中心、农副产品销售中心和再生资源回收中心。</w:t>
      </w:r>
    </w:p>
    <w:p>
      <w:pPr>
        <w:spacing w:line="500" w:lineRule="exact"/>
        <w:ind w:left="319" w:leftChars="152" w:firstLine="560" w:firstLineChars="175"/>
        <w:rPr>
          <w:rFonts w:ascii="仿宋" w:hAnsi="仿宋" w:eastAsia="仿宋" w:cs="Times New Roman"/>
          <w:sz w:val="32"/>
          <w:szCs w:val="32"/>
        </w:rPr>
      </w:pPr>
      <w:r>
        <w:rPr>
          <w:rFonts w:hint="eastAsia" w:ascii="仿宋" w:hAnsi="仿宋" w:eastAsia="仿宋" w:cs="仿宋"/>
          <w:sz w:val="32"/>
          <w:szCs w:val="32"/>
        </w:rPr>
        <w:t>经营网络振兴规划的主要措施：一、加强组织领导，组织强有力的专班抓。二、力争政府支持，走绿色通道。三、项目支撑发展，实施项目发展战略。四、与年终目标同考核。</w:t>
      </w:r>
    </w:p>
    <w:p>
      <w:pPr>
        <w:spacing w:line="500" w:lineRule="exact"/>
        <w:ind w:left="319" w:leftChars="152" w:firstLine="400" w:firstLineChars="125"/>
        <w:rPr>
          <w:rFonts w:ascii="方正仿宋_GBK" w:cs="Times New Roman"/>
          <w:sz w:val="28"/>
          <w:szCs w:val="28"/>
        </w:rPr>
      </w:pPr>
      <w:r>
        <w:rPr>
          <w:rFonts w:hint="eastAsia" w:ascii="仿宋" w:hAnsi="仿宋" w:eastAsia="仿宋" w:cs="仿宋"/>
          <w:sz w:val="32"/>
          <w:szCs w:val="32"/>
        </w:rPr>
        <w:t>到</w:t>
      </w:r>
      <w:r>
        <w:rPr>
          <w:rFonts w:hint="eastAsia" w:ascii="仿宋" w:hAnsi="仿宋" w:eastAsia="仿宋" w:cs="仿宋"/>
          <w:sz w:val="32"/>
          <w:szCs w:val="32"/>
          <w:lang w:val="en-US" w:eastAsia="zh-CN"/>
        </w:rPr>
        <w:t>2020</w:t>
      </w:r>
      <w:r>
        <w:rPr>
          <w:rFonts w:hint="eastAsia" w:ascii="仿宋" w:hAnsi="仿宋" w:eastAsia="仿宋" w:cs="仿宋"/>
          <w:sz w:val="32"/>
          <w:szCs w:val="32"/>
        </w:rPr>
        <w:t>年，供销社农村商品流通主渠道作用明显发挥；农产品购销力度明显加强；组织农民走向市场的带动力明显提升；社会化服务体系建设实现新跨越。</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left="1839" w:leftChars="571" w:hanging="640" w:hangingChars="200"/>
        <w:rPr>
          <w:rFonts w:ascii="仿宋" w:hAnsi="仿宋" w:eastAsia="仿宋" w:cs="Times New Roman"/>
          <w:sz w:val="32"/>
          <w:szCs w:val="32"/>
        </w:rPr>
      </w:pPr>
      <w:r>
        <w:rPr>
          <w:rFonts w:hint="eastAsia" w:ascii="仿宋" w:hAnsi="仿宋" w:eastAsia="仿宋" w:cs="仿宋"/>
          <w:sz w:val="32"/>
          <w:szCs w:val="32"/>
          <w:lang w:val="en-US" w:eastAsia="zh-CN"/>
        </w:rPr>
        <w:t>(</w:t>
      </w:r>
      <w:r>
        <w:rPr>
          <w:rFonts w:hint="eastAsia" w:ascii="仿宋" w:hAnsi="仿宋" w:eastAsia="仿宋" w:cs="仿宋"/>
          <w:sz w:val="32"/>
          <w:szCs w:val="32"/>
        </w:rPr>
        <w:t>一）研究制定全县供销合作事业的发展思路和发展规划，指导供销合作社系统的改革和发展，组织本级企业深化改革。</w:t>
      </w:r>
    </w:p>
    <w:p>
      <w:pPr>
        <w:spacing w:line="500" w:lineRule="exact"/>
        <w:ind w:left="1840" w:leftChars="419" w:hanging="960" w:hangingChars="300"/>
        <w:rPr>
          <w:rFonts w:ascii="仿宋" w:hAnsi="仿宋" w:eastAsia="仿宋" w:cs="Times New Roman"/>
          <w:sz w:val="32"/>
          <w:szCs w:val="32"/>
        </w:rPr>
      </w:pPr>
      <w:r>
        <w:rPr>
          <w:rFonts w:hint="eastAsia" w:ascii="仿宋" w:hAnsi="仿宋" w:eastAsia="仿宋" w:cs="仿宋"/>
          <w:sz w:val="32"/>
          <w:szCs w:val="32"/>
        </w:rPr>
        <w:t>（二）组织协调农业生产资料的供应和各项为农服务工作，按照政府授权承担重要农业生产资料、农副产品和防汛抗旱物资的储备，适时调控市场。</w:t>
      </w:r>
    </w:p>
    <w:p>
      <w:pPr>
        <w:spacing w:line="500" w:lineRule="exact"/>
        <w:ind w:left="1918" w:leftChars="456" w:hanging="960" w:hangingChars="300"/>
        <w:rPr>
          <w:rFonts w:ascii="仿宋" w:hAnsi="仿宋" w:eastAsia="仿宋" w:cs="Times New Roman"/>
          <w:sz w:val="32"/>
          <w:szCs w:val="32"/>
        </w:rPr>
      </w:pPr>
      <w:r>
        <w:rPr>
          <w:rFonts w:hint="eastAsia" w:ascii="仿宋" w:hAnsi="仿宋" w:eastAsia="仿宋" w:cs="仿宋"/>
          <w:sz w:val="32"/>
          <w:szCs w:val="32"/>
        </w:rPr>
        <w:t>（三）负责与有关部门协调政策，维护各级供销合作社及社办企业、专业合作社和全体社员的合法权益。</w:t>
      </w:r>
    </w:p>
    <w:p>
      <w:pPr>
        <w:spacing w:line="500" w:lineRule="exact"/>
        <w:ind w:left="1598" w:leftChars="456" w:hanging="640" w:hangingChars="200"/>
        <w:rPr>
          <w:rFonts w:ascii="仿宋" w:hAnsi="仿宋" w:eastAsia="仿宋" w:cs="Times New Roman"/>
          <w:sz w:val="32"/>
          <w:szCs w:val="32"/>
        </w:rPr>
      </w:pPr>
      <w:r>
        <w:rPr>
          <w:rFonts w:hint="eastAsia" w:ascii="仿宋" w:hAnsi="仿宋" w:eastAsia="仿宋" w:cs="仿宋"/>
          <w:sz w:val="32"/>
          <w:szCs w:val="32"/>
        </w:rPr>
        <w:t>（四）指导和协调全县供销合作社的业务活动，促进城乡物资交流，开拓农村市场。</w:t>
      </w:r>
    </w:p>
    <w:p>
      <w:pPr>
        <w:spacing w:line="500" w:lineRule="exact"/>
        <w:ind w:left="1520" w:leftChars="419" w:hanging="640" w:hangingChars="200"/>
        <w:rPr>
          <w:rFonts w:ascii="仿宋" w:hAnsi="仿宋" w:eastAsia="仿宋" w:cs="Times New Roman"/>
          <w:sz w:val="32"/>
          <w:szCs w:val="32"/>
        </w:rPr>
      </w:pPr>
      <w:r>
        <w:rPr>
          <w:rFonts w:hint="eastAsia" w:ascii="仿宋" w:hAnsi="仿宋" w:eastAsia="仿宋" w:cs="仿宋"/>
          <w:sz w:val="32"/>
          <w:szCs w:val="32"/>
        </w:rPr>
        <w:t>（五）宣传贯彻党和政府有关农村经济工作的方针政策，参与组织联办农业龙头企业、各类农村专业合作社和专业协会，积极参与农业产业化经营，促进效益农业发展。</w:t>
      </w:r>
    </w:p>
    <w:p>
      <w:pPr>
        <w:spacing w:line="500" w:lineRule="exact"/>
        <w:ind w:left="1520" w:leftChars="419" w:hanging="640" w:hangingChars="200"/>
        <w:rPr>
          <w:rFonts w:ascii="仿宋" w:hAnsi="仿宋" w:eastAsia="仿宋" w:cs="Times New Roman"/>
          <w:sz w:val="32"/>
          <w:szCs w:val="32"/>
        </w:rPr>
      </w:pPr>
      <w:r>
        <w:rPr>
          <w:rFonts w:hint="eastAsia" w:ascii="仿宋" w:hAnsi="仿宋" w:eastAsia="仿宋" w:cs="仿宋"/>
          <w:sz w:val="32"/>
          <w:szCs w:val="32"/>
        </w:rPr>
        <w:t>（六）行使本级社有资产的所有权代表和管理者职能，负责监督社有资产保值增值。对所属企业进行监管和政策指导。</w:t>
      </w:r>
    </w:p>
    <w:p>
      <w:pPr>
        <w:spacing w:line="500" w:lineRule="exact"/>
        <w:ind w:firstLine="640" w:firstLineChars="200"/>
        <w:rPr>
          <w:rFonts w:ascii="仿宋" w:hAnsi="仿宋" w:eastAsia="仿宋" w:cs="Times New Roman"/>
          <w:sz w:val="32"/>
          <w:szCs w:val="32"/>
        </w:rPr>
      </w:pPr>
      <w:r>
        <w:rPr>
          <w:rFonts w:hint="eastAsia" w:ascii="仿宋" w:hAnsi="仿宋" w:eastAsia="仿宋" w:cs="仿宋"/>
          <w:sz w:val="32"/>
          <w:szCs w:val="32"/>
        </w:rPr>
        <w:t>（七）代表本级联合社参加上级联合社的各项活动。</w:t>
      </w:r>
    </w:p>
    <w:p>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仿宋"/>
          <w:sz w:val="32"/>
          <w:szCs w:val="32"/>
        </w:rPr>
        <w:t>（八）承办市县委、县政府和上级供销合作社交办的其他事项。</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autoSpaceDE w:val="0"/>
        <w:autoSpaceDN w:val="0"/>
        <w:adjustRightInd w:val="0"/>
        <w:ind w:left="198" w:firstLine="560" w:firstLineChars="200"/>
        <w:jc w:val="left"/>
        <w:rPr>
          <w:rFonts w:ascii="Times New Roman" w:hAnsi="Times New Roman" w:eastAsia="仿宋" w:cs="Times New Roman"/>
          <w:b/>
          <w:bCs/>
          <w:sz w:val="32"/>
          <w:szCs w:val="32"/>
        </w:rPr>
      </w:pPr>
      <w:r>
        <w:rPr>
          <w:rFonts w:hint="eastAsia" w:ascii="方正仿宋_GBK" w:eastAsia="方正仿宋_GBK"/>
          <w:b/>
          <w:sz w:val="28"/>
        </w:rPr>
        <w:t xml:space="preserve">  </w:t>
      </w:r>
      <w:r>
        <w:rPr>
          <w:rFonts w:hint="eastAsia" w:ascii="Times New Roman" w:hAnsi="Times New Roman" w:eastAsia="仿宋" w:cs="仿宋"/>
          <w:b/>
          <w:bCs/>
          <w:sz w:val="32"/>
          <w:szCs w:val="32"/>
        </w:rPr>
        <w:t>部门职责及工作活动绩效目标指标：</w:t>
      </w:r>
    </w:p>
    <w:p>
      <w:pPr>
        <w:jc w:val="center"/>
        <w:outlineLvl w:val="0"/>
        <w:rPr>
          <w:rFonts w:ascii="方正小标宋_GBK" w:hAnsi="Times New Roman" w:eastAsia="方正小标宋_GBK" w:cs="Times New Roman"/>
          <w:sz w:val="32"/>
          <w:szCs w:val="32"/>
        </w:rPr>
      </w:pPr>
    </w:p>
    <w:p>
      <w:pPr>
        <w:jc w:val="center"/>
        <w:outlineLvl w:val="0"/>
        <w:rPr>
          <w:rFonts w:ascii="方正小标宋_GBK" w:eastAsia="方正小标宋_GBK" w:cs="Times New Roman"/>
          <w:color w:val="FFFFFF"/>
          <w:sz w:val="32"/>
          <w:szCs w:val="32"/>
        </w:rPr>
      </w:pPr>
      <w:bookmarkStart w:id="4" w:name="_Toc535404678"/>
      <w:r>
        <w:rPr>
          <w:rFonts w:hint="eastAsia" w:ascii="方正小标宋_GBK" w:eastAsia="方正小标宋_GBK" w:cs="方正小标宋_GBK"/>
          <w:sz w:val="32"/>
          <w:szCs w:val="32"/>
        </w:rPr>
        <w:t>部门职责</w:t>
      </w:r>
      <w:r>
        <w:rPr>
          <w:rFonts w:ascii="方正小标宋_GBK" w:eastAsia="方正小标宋_GBK" w:cs="方正小标宋_GBK"/>
          <w:sz w:val="32"/>
          <w:szCs w:val="32"/>
        </w:rPr>
        <w:t>-</w:t>
      </w:r>
      <w:r>
        <w:rPr>
          <w:rFonts w:hint="eastAsia" w:ascii="方正小标宋_GBK" w:eastAsia="方正小标宋_GBK" w:cs="方正小标宋_GBK"/>
          <w:sz w:val="32"/>
          <w:szCs w:val="32"/>
        </w:rPr>
        <w:t>工作活动绩效目标</w:t>
      </w:r>
      <w:r>
        <w:rPr>
          <w:rStyle w:val="9"/>
          <w:rFonts w:hint="eastAsia" w:ascii="方正小标宋_GBK" w:hAnsi="Symbol" w:eastAsia="方正小标宋_GBK" w:cs="Times New Roman"/>
          <w:color w:val="FFFFFF"/>
          <w:sz w:val="32"/>
          <w:szCs w:val="32"/>
        </w:rPr>
        <w:sym w:font="Symbol" w:char="F020"/>
      </w:r>
      <w:bookmarkEnd w:id="4"/>
    </w:p>
    <w:tbl>
      <w:tblPr>
        <w:tblStyle w:val="7"/>
        <w:tblW w:w="99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2"/>
        <w:gridCol w:w="470"/>
        <w:gridCol w:w="2277"/>
        <w:gridCol w:w="1481"/>
        <w:gridCol w:w="990"/>
        <w:gridCol w:w="1"/>
        <w:gridCol w:w="469"/>
        <w:gridCol w:w="408"/>
        <w:gridCol w:w="1147"/>
        <w:gridCol w:w="502"/>
        <w:gridCol w:w="1"/>
        <w:gridCol w:w="491"/>
        <w:gridCol w:w="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3" w:hRule="atLeast"/>
          <w:tblHeader/>
          <w:jc w:val="center"/>
        </w:trPr>
        <w:tc>
          <w:tcPr>
            <w:tcW w:w="696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975</w:t>
            </w:r>
            <w:r>
              <w:rPr>
                <w:rFonts w:hint="eastAsia" w:ascii="方正小标宋_GBK" w:eastAsia="方正小标宋_GBK" w:cs="方正小标宋_GBK"/>
                <w:sz w:val="24"/>
                <w:szCs w:val="24"/>
              </w:rPr>
              <w:t>隆尧县供销合作社</w:t>
            </w:r>
          </w:p>
        </w:tc>
        <w:tc>
          <w:tcPr>
            <w:tcW w:w="2527"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单位：万元</w:t>
            </w:r>
          </w:p>
        </w:tc>
        <w:tc>
          <w:tcPr>
            <w:tcW w:w="492" w:type="dxa"/>
            <w:gridSpan w:val="2"/>
            <w:tcBorders>
              <w:top w:val="single" w:color="FFFFFF" w:sz="6" w:space="0"/>
              <w:left w:val="single" w:color="FFFFFF" w:sz="6" w:space="0"/>
              <w:right w:val="single" w:color="FFFFFF" w:sz="6" w:space="0"/>
            </w:tcBorders>
            <w:vAlign w:val="center"/>
          </w:tcPr>
          <w:p>
            <w:pPr>
              <w:spacing w:line="300" w:lineRule="exact"/>
              <w:jc w:val="right"/>
              <w:rPr>
                <w:rFonts w:hint="eastAsia" w:ascii="方正书宋_GBK" w:eastAsia="方正书宋_GBK" w:cs="方正书宋_GBK"/>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293" w:hRule="atLeast"/>
          <w:tblHeader/>
          <w:jc w:val="center"/>
        </w:trPr>
        <w:tc>
          <w:tcPr>
            <w:tcW w:w="1742"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职责活动</w:t>
            </w:r>
          </w:p>
        </w:tc>
        <w:tc>
          <w:tcPr>
            <w:tcW w:w="470"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年度预算数</w:t>
            </w:r>
          </w:p>
        </w:tc>
        <w:tc>
          <w:tcPr>
            <w:tcW w:w="2277"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内容描述</w:t>
            </w:r>
          </w:p>
        </w:tc>
        <w:tc>
          <w:tcPr>
            <w:tcW w:w="1481"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绩效目标</w:t>
            </w:r>
          </w:p>
        </w:tc>
        <w:tc>
          <w:tcPr>
            <w:tcW w:w="990" w:type="dxa"/>
            <w:vMerge w:val="restart"/>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绩效指标</w:t>
            </w:r>
          </w:p>
        </w:tc>
        <w:tc>
          <w:tcPr>
            <w:tcW w:w="2527" w:type="dxa"/>
            <w:gridSpan w:val="5"/>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评价标准</w:t>
            </w:r>
          </w:p>
        </w:tc>
        <w:tc>
          <w:tcPr>
            <w:tcW w:w="492" w:type="dxa"/>
            <w:gridSpan w:val="2"/>
            <w:vAlign w:val="center"/>
          </w:tcPr>
          <w:p>
            <w:pPr>
              <w:spacing w:line="300" w:lineRule="exact"/>
              <w:jc w:val="center"/>
              <w:rPr>
                <w:rFonts w:hint="eastAsia" w:ascii="仿宋" w:hAnsi="仿宋" w:eastAsia="仿宋" w:cs="仿宋"/>
                <w:b/>
                <w:bCs/>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1117" w:hRule="atLeast"/>
          <w:tblHeader/>
          <w:jc w:val="center"/>
        </w:trPr>
        <w:tc>
          <w:tcPr>
            <w:tcW w:w="1742" w:type="dxa"/>
            <w:vMerge w:val="continue"/>
            <w:vAlign w:val="center"/>
          </w:tcPr>
          <w:p>
            <w:pPr>
              <w:spacing w:line="300" w:lineRule="exact"/>
              <w:jc w:val="left"/>
              <w:outlineLvl w:val="0"/>
              <w:rPr>
                <w:rFonts w:ascii="仿宋" w:hAnsi="仿宋" w:eastAsia="仿宋" w:cs="Times New Roman"/>
                <w:sz w:val="24"/>
                <w:szCs w:val="24"/>
              </w:rPr>
            </w:pPr>
          </w:p>
        </w:tc>
        <w:tc>
          <w:tcPr>
            <w:tcW w:w="470" w:type="dxa"/>
            <w:vMerge w:val="continue"/>
            <w:vAlign w:val="center"/>
          </w:tcPr>
          <w:p>
            <w:pPr>
              <w:spacing w:line="300" w:lineRule="exact"/>
              <w:jc w:val="left"/>
              <w:outlineLvl w:val="0"/>
              <w:rPr>
                <w:rFonts w:ascii="仿宋" w:hAnsi="仿宋" w:eastAsia="仿宋" w:cs="Times New Roman"/>
                <w:sz w:val="24"/>
                <w:szCs w:val="24"/>
              </w:rPr>
            </w:pPr>
          </w:p>
        </w:tc>
        <w:tc>
          <w:tcPr>
            <w:tcW w:w="2277" w:type="dxa"/>
            <w:vMerge w:val="continue"/>
            <w:vAlign w:val="center"/>
          </w:tcPr>
          <w:p>
            <w:pPr>
              <w:spacing w:line="300" w:lineRule="exact"/>
              <w:jc w:val="left"/>
              <w:outlineLvl w:val="0"/>
              <w:rPr>
                <w:rFonts w:ascii="仿宋" w:hAnsi="仿宋" w:eastAsia="仿宋" w:cs="Times New Roman"/>
                <w:sz w:val="24"/>
                <w:szCs w:val="24"/>
              </w:rPr>
            </w:pPr>
          </w:p>
        </w:tc>
        <w:tc>
          <w:tcPr>
            <w:tcW w:w="1481" w:type="dxa"/>
            <w:vMerge w:val="continue"/>
            <w:vAlign w:val="center"/>
          </w:tcPr>
          <w:p>
            <w:pPr>
              <w:spacing w:line="300" w:lineRule="exact"/>
              <w:jc w:val="left"/>
              <w:outlineLvl w:val="0"/>
              <w:rPr>
                <w:rFonts w:ascii="仿宋" w:hAnsi="仿宋" w:eastAsia="仿宋" w:cs="Times New Roman"/>
                <w:sz w:val="24"/>
                <w:szCs w:val="24"/>
              </w:rPr>
            </w:pPr>
          </w:p>
        </w:tc>
        <w:tc>
          <w:tcPr>
            <w:tcW w:w="990" w:type="dxa"/>
            <w:vMerge w:val="continue"/>
            <w:vAlign w:val="center"/>
          </w:tcPr>
          <w:p>
            <w:pPr>
              <w:spacing w:line="300" w:lineRule="exact"/>
              <w:jc w:val="left"/>
              <w:outlineLvl w:val="0"/>
              <w:rPr>
                <w:rFonts w:ascii="仿宋" w:hAnsi="仿宋" w:eastAsia="仿宋" w:cs="Times New Roman"/>
                <w:sz w:val="24"/>
                <w:szCs w:val="24"/>
              </w:rPr>
            </w:pPr>
          </w:p>
        </w:tc>
        <w:tc>
          <w:tcPr>
            <w:tcW w:w="470" w:type="dxa"/>
            <w:gridSpan w:val="2"/>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优</w:t>
            </w:r>
          </w:p>
        </w:tc>
        <w:tc>
          <w:tcPr>
            <w:tcW w:w="408"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良</w:t>
            </w:r>
          </w:p>
        </w:tc>
        <w:tc>
          <w:tcPr>
            <w:tcW w:w="1147"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中</w:t>
            </w:r>
          </w:p>
        </w:tc>
        <w:tc>
          <w:tcPr>
            <w:tcW w:w="502" w:type="dxa"/>
            <w:vAlign w:val="center"/>
          </w:tcPr>
          <w:p>
            <w:pPr>
              <w:spacing w:line="300" w:lineRule="exact"/>
              <w:jc w:val="center"/>
              <w:rPr>
                <w:rFonts w:ascii="仿宋" w:hAnsi="仿宋" w:eastAsia="仿宋" w:cs="Times New Roman"/>
                <w:b/>
                <w:bCs/>
                <w:sz w:val="24"/>
                <w:szCs w:val="24"/>
              </w:rPr>
            </w:pPr>
            <w:r>
              <w:rPr>
                <w:rFonts w:hint="eastAsia" w:ascii="仿宋" w:hAnsi="仿宋" w:eastAsia="仿宋" w:cs="仿宋"/>
                <w:b/>
                <w:bCs/>
                <w:sz w:val="24"/>
                <w:szCs w:val="24"/>
              </w:rPr>
              <w:t>差</w:t>
            </w:r>
          </w:p>
        </w:tc>
        <w:tc>
          <w:tcPr>
            <w:tcW w:w="492" w:type="dxa"/>
            <w:gridSpan w:val="2"/>
            <w:vAlign w:val="center"/>
          </w:tcPr>
          <w:p>
            <w:pPr>
              <w:spacing w:line="300" w:lineRule="exact"/>
              <w:jc w:val="center"/>
              <w:rPr>
                <w:rFonts w:hint="eastAsia" w:ascii="仿宋" w:hAnsi="仿宋" w:eastAsia="仿宋" w:cs="仿宋"/>
                <w:b/>
                <w:bCs/>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1410"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一、供销流通管理</w:t>
            </w:r>
          </w:p>
        </w:tc>
        <w:tc>
          <w:tcPr>
            <w:tcW w:w="470" w:type="dxa"/>
            <w:vAlign w:val="center"/>
          </w:tcPr>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贯彻落实党和政府商业流通有关方针政策，研究制定行业发展战略和规划，组织指导行业改革发展，负责行业管理，开展教育培训，维护合法权益</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确保供销社事业改革、发展和壮大、发挥供销社在商业流通服务的作用</w:t>
            </w:r>
          </w:p>
        </w:tc>
        <w:tc>
          <w:tcPr>
            <w:tcW w:w="990" w:type="dxa"/>
            <w:tcBorders>
              <w:bottom w:val="single" w:color="auto" w:sz="4" w:space="0"/>
            </w:tcBorders>
            <w:vAlign w:val="center"/>
          </w:tcPr>
          <w:p>
            <w:pPr>
              <w:spacing w:line="300" w:lineRule="exact"/>
              <w:jc w:val="left"/>
              <w:rPr>
                <w:rFonts w:ascii="仿宋" w:hAnsi="仿宋" w:eastAsia="仿宋" w:cs="Times New Roman"/>
                <w:sz w:val="24"/>
                <w:szCs w:val="24"/>
              </w:rPr>
            </w:pPr>
          </w:p>
        </w:tc>
        <w:tc>
          <w:tcPr>
            <w:tcW w:w="470" w:type="dxa"/>
            <w:gridSpan w:val="2"/>
            <w:tcBorders>
              <w:bottom w:val="single" w:color="auto" w:sz="4" w:space="0"/>
            </w:tcBorders>
            <w:vAlign w:val="center"/>
          </w:tcPr>
          <w:p>
            <w:pPr>
              <w:spacing w:line="300" w:lineRule="exact"/>
              <w:jc w:val="center"/>
              <w:rPr>
                <w:rFonts w:ascii="仿宋" w:hAnsi="仿宋" w:eastAsia="仿宋" w:cs="Times New Roman"/>
                <w:sz w:val="24"/>
                <w:szCs w:val="24"/>
              </w:rPr>
            </w:pPr>
          </w:p>
        </w:tc>
        <w:tc>
          <w:tcPr>
            <w:tcW w:w="408" w:type="dxa"/>
            <w:tcBorders>
              <w:bottom w:val="single" w:color="auto" w:sz="4" w:space="0"/>
            </w:tcBorders>
            <w:vAlign w:val="center"/>
          </w:tcPr>
          <w:p>
            <w:pPr>
              <w:spacing w:line="300" w:lineRule="exact"/>
              <w:jc w:val="center"/>
              <w:rPr>
                <w:rFonts w:ascii="仿宋" w:hAnsi="仿宋" w:eastAsia="仿宋" w:cs="Times New Roman"/>
                <w:sz w:val="24"/>
                <w:szCs w:val="24"/>
              </w:rPr>
            </w:pPr>
          </w:p>
        </w:tc>
        <w:tc>
          <w:tcPr>
            <w:tcW w:w="1147" w:type="dxa"/>
            <w:tcBorders>
              <w:bottom w:val="single" w:color="auto" w:sz="4" w:space="0"/>
            </w:tcBorders>
            <w:vAlign w:val="center"/>
          </w:tcPr>
          <w:p>
            <w:pPr>
              <w:spacing w:line="300" w:lineRule="exact"/>
              <w:jc w:val="center"/>
              <w:rPr>
                <w:rFonts w:ascii="仿宋" w:hAnsi="仿宋" w:eastAsia="仿宋" w:cs="Times New Roman"/>
                <w:sz w:val="24"/>
                <w:szCs w:val="24"/>
              </w:rPr>
            </w:pPr>
          </w:p>
        </w:tc>
        <w:tc>
          <w:tcPr>
            <w:tcW w:w="502" w:type="dxa"/>
            <w:tcBorders>
              <w:bottom w:val="single" w:color="auto" w:sz="4" w:space="0"/>
            </w:tcBorders>
            <w:vAlign w:val="center"/>
          </w:tcPr>
          <w:p>
            <w:pPr>
              <w:spacing w:line="300" w:lineRule="exact"/>
              <w:jc w:val="center"/>
              <w:rPr>
                <w:rFonts w:ascii="仿宋" w:hAnsi="仿宋" w:eastAsia="仿宋" w:cs="Times New Roman"/>
                <w:sz w:val="24"/>
                <w:szCs w:val="24"/>
              </w:rPr>
            </w:pPr>
          </w:p>
        </w:tc>
        <w:tc>
          <w:tcPr>
            <w:tcW w:w="492" w:type="dxa"/>
            <w:gridSpan w:val="2"/>
            <w:tcBorders>
              <w:bottom w:val="single" w:color="auto" w:sz="4" w:space="0"/>
            </w:tcBorders>
            <w:vAlign w:val="center"/>
          </w:tcPr>
          <w:p>
            <w:pPr>
              <w:spacing w:line="300" w:lineRule="exact"/>
              <w:jc w:val="center"/>
              <w:rPr>
                <w:rFonts w:ascii="仿宋" w:hAnsi="仿宋" w:eastAsia="仿宋" w:cs="Times New Roman"/>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3363"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1</w:t>
            </w:r>
            <w:r>
              <w:rPr>
                <w:rFonts w:hint="eastAsia" w:ascii="仿宋" w:hAnsi="仿宋" w:eastAsia="仿宋" w:cs="仿宋"/>
                <w:b/>
                <w:bCs/>
                <w:sz w:val="24"/>
                <w:szCs w:val="24"/>
              </w:rPr>
              <w:t>、发展现代流通网络建设及管理</w:t>
            </w:r>
          </w:p>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p>
        </w:tc>
        <w:tc>
          <w:tcPr>
            <w:tcW w:w="470" w:type="dxa"/>
            <w:vAlign w:val="center"/>
          </w:tcPr>
          <w:p>
            <w:pPr>
              <w:spacing w:line="300" w:lineRule="exact"/>
              <w:jc w:val="left"/>
              <w:rPr>
                <w:rFonts w:ascii="仿宋" w:hAnsi="仿宋" w:eastAsia="仿宋" w:cs="Times New Roman"/>
                <w:sz w:val="24"/>
                <w:szCs w:val="24"/>
              </w:rPr>
            </w:pPr>
          </w:p>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落实供销社系统现代流通网络建设，加快服务创新、经营创新和业态创新，优化网络布局，完善网络体系，发挥一网多用、双向流通的作用，在农资供应、农产品流通、农村服务等重点领域和环节为农民提供便利实惠、安全优质的服务。</w:t>
            </w:r>
          </w:p>
          <w:p>
            <w:pPr>
              <w:spacing w:line="300" w:lineRule="exact"/>
              <w:jc w:val="left"/>
              <w:rPr>
                <w:rFonts w:ascii="仿宋" w:hAnsi="仿宋" w:eastAsia="仿宋" w:cs="Times New Roman"/>
                <w:sz w:val="24"/>
                <w:szCs w:val="24"/>
              </w:rPr>
            </w:pPr>
          </w:p>
        </w:tc>
        <w:tc>
          <w:tcPr>
            <w:tcW w:w="1481" w:type="dxa"/>
            <w:tcBorders>
              <w:right w:val="single" w:color="auto" w:sz="4" w:space="0"/>
            </w:tcBorders>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健全农资、农副产品、日用消费品、再生资源回收利用四大网络，加快形成连锁化、规模化、品牌化经营服务新格局；发展农村电子务，形成网上交易、仓储物流、终端配送一体化经营，推动线上线下融合发展。</w:t>
            </w:r>
          </w:p>
        </w:tc>
        <w:tc>
          <w:tcPr>
            <w:tcW w:w="990" w:type="dxa"/>
            <w:tcBorders>
              <w:top w:val="single" w:color="auto" w:sz="4" w:space="0"/>
              <w:left w:val="single" w:color="auto" w:sz="4" w:space="0"/>
            </w:tcBorders>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连锁经营销售额占全县供销社销售额比重</w:t>
            </w:r>
          </w:p>
        </w:tc>
        <w:tc>
          <w:tcPr>
            <w:tcW w:w="470" w:type="dxa"/>
            <w:gridSpan w:val="2"/>
            <w:tcBorders>
              <w:top w:val="single" w:color="auto" w:sz="4" w:space="0"/>
            </w:tcBorders>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w:t>
            </w:r>
            <w:r>
              <w:rPr>
                <w:rFonts w:ascii="仿宋" w:hAnsi="仿宋" w:eastAsia="仿宋" w:cs="仿宋"/>
                <w:sz w:val="24"/>
                <w:szCs w:val="24"/>
              </w:rPr>
              <w:t>15%</w:t>
            </w:r>
          </w:p>
        </w:tc>
        <w:tc>
          <w:tcPr>
            <w:tcW w:w="408" w:type="dxa"/>
            <w:tcBorders>
              <w:top w:val="single" w:color="auto" w:sz="4" w:space="0"/>
            </w:tcBorders>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w:t>
            </w:r>
            <w:r>
              <w:rPr>
                <w:rFonts w:ascii="仿宋" w:hAnsi="仿宋" w:eastAsia="仿宋" w:cs="仿宋"/>
                <w:sz w:val="24"/>
                <w:szCs w:val="24"/>
              </w:rPr>
              <w:t>12%</w:t>
            </w:r>
          </w:p>
        </w:tc>
        <w:tc>
          <w:tcPr>
            <w:tcW w:w="1147" w:type="dxa"/>
            <w:tcBorders>
              <w:top w:val="single" w:color="auto" w:sz="4" w:space="0"/>
            </w:tcBorders>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w:t>
            </w:r>
            <w:r>
              <w:rPr>
                <w:rFonts w:ascii="仿宋" w:hAnsi="仿宋" w:eastAsia="仿宋" w:cs="仿宋"/>
                <w:sz w:val="24"/>
                <w:szCs w:val="24"/>
              </w:rPr>
              <w:t>10%</w:t>
            </w:r>
          </w:p>
        </w:tc>
        <w:tc>
          <w:tcPr>
            <w:tcW w:w="502" w:type="dxa"/>
            <w:tcBorders>
              <w:top w:val="single" w:color="auto" w:sz="4" w:space="0"/>
              <w:right w:val="single" w:color="auto" w:sz="4" w:space="0"/>
            </w:tcBorders>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w:t>
            </w:r>
            <w:r>
              <w:rPr>
                <w:rFonts w:ascii="仿宋" w:hAnsi="仿宋" w:eastAsia="仿宋" w:cs="仿宋"/>
                <w:sz w:val="24"/>
                <w:szCs w:val="24"/>
              </w:rPr>
              <w:t>0%</w:t>
            </w:r>
          </w:p>
        </w:tc>
        <w:tc>
          <w:tcPr>
            <w:tcW w:w="492" w:type="dxa"/>
            <w:gridSpan w:val="2"/>
            <w:tcBorders>
              <w:top w:val="single" w:color="auto" w:sz="4" w:space="0"/>
              <w:right w:val="single" w:color="auto" w:sz="4" w:space="0"/>
            </w:tcBorders>
            <w:vAlign w:val="center"/>
          </w:tcPr>
          <w:p>
            <w:pPr>
              <w:spacing w:line="300" w:lineRule="exact"/>
              <w:jc w:val="center"/>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1730"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2</w:t>
            </w:r>
            <w:r>
              <w:rPr>
                <w:rFonts w:hint="eastAsia" w:ascii="仿宋" w:hAnsi="仿宋" w:eastAsia="仿宋" w:cs="仿宋"/>
                <w:b/>
                <w:bCs/>
                <w:sz w:val="24"/>
                <w:szCs w:val="24"/>
              </w:rPr>
              <w:t>、社属企业运营管理及建设</w:t>
            </w:r>
          </w:p>
        </w:tc>
        <w:tc>
          <w:tcPr>
            <w:tcW w:w="470" w:type="dxa"/>
            <w:vAlign w:val="center"/>
          </w:tcPr>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指导社属企业经营管理，对社属企业进行监督检查，完善企业运营管理制度并监督执行，行使出资人职能、确保社有资产的安全和增值</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社有企业实现跨越式发展，供销社体制机制明显优化，营业收入、利润总额和净资产均有不同程度增长。</w:t>
            </w:r>
          </w:p>
        </w:tc>
        <w:tc>
          <w:tcPr>
            <w:tcW w:w="990" w:type="dxa"/>
            <w:tcBorders>
              <w:top w:val="single" w:color="auto" w:sz="4" w:space="0"/>
            </w:tcBorders>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社有资产增值比率</w:t>
            </w:r>
          </w:p>
        </w:tc>
        <w:tc>
          <w:tcPr>
            <w:tcW w:w="470" w:type="dxa"/>
            <w:gridSpan w:val="2"/>
            <w:tcBorders>
              <w:top w:val="single" w:color="auto" w:sz="4" w:space="0"/>
            </w:tcBorders>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5%</w:t>
            </w:r>
          </w:p>
        </w:tc>
        <w:tc>
          <w:tcPr>
            <w:tcW w:w="408" w:type="dxa"/>
            <w:tcBorders>
              <w:top w:val="single" w:color="auto" w:sz="4" w:space="0"/>
            </w:tcBorders>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4.5%</w:t>
            </w:r>
          </w:p>
        </w:tc>
        <w:tc>
          <w:tcPr>
            <w:tcW w:w="1147" w:type="dxa"/>
            <w:tcBorders>
              <w:top w:val="single" w:color="auto" w:sz="4" w:space="0"/>
            </w:tcBorders>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4%</w:t>
            </w:r>
          </w:p>
        </w:tc>
        <w:tc>
          <w:tcPr>
            <w:tcW w:w="502" w:type="dxa"/>
            <w:tcBorders>
              <w:top w:val="single" w:color="auto" w:sz="4" w:space="0"/>
            </w:tcBorders>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4%</w:t>
            </w:r>
          </w:p>
        </w:tc>
        <w:tc>
          <w:tcPr>
            <w:tcW w:w="492" w:type="dxa"/>
            <w:gridSpan w:val="2"/>
            <w:tcBorders>
              <w:top w:val="single" w:color="auto" w:sz="4" w:space="0"/>
            </w:tcBorders>
            <w:vAlign w:val="center"/>
          </w:tcPr>
          <w:p>
            <w:pPr>
              <w:spacing w:line="300" w:lineRule="exact"/>
              <w:jc w:val="center"/>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4200"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二、服务三农事务管理</w:t>
            </w:r>
          </w:p>
          <w:p>
            <w:pPr>
              <w:spacing w:line="300" w:lineRule="exact"/>
              <w:jc w:val="left"/>
              <w:rPr>
                <w:rFonts w:ascii="仿宋" w:hAnsi="仿宋" w:eastAsia="仿宋" w:cs="Times New Roman"/>
                <w:b/>
                <w:bCs/>
                <w:sz w:val="24"/>
                <w:szCs w:val="24"/>
              </w:rPr>
            </w:pPr>
          </w:p>
        </w:tc>
        <w:tc>
          <w:tcPr>
            <w:tcW w:w="470" w:type="dxa"/>
            <w:vAlign w:val="center"/>
          </w:tcPr>
          <w:p>
            <w:pPr>
              <w:spacing w:line="300" w:lineRule="exact"/>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贯彻落实党和政府有关</w:t>
            </w:r>
            <w:r>
              <w:rPr>
                <w:rFonts w:ascii="仿宋" w:hAnsi="仿宋" w:eastAsia="仿宋" w:cs="仿宋"/>
                <w:sz w:val="24"/>
                <w:szCs w:val="24"/>
              </w:rPr>
              <w:t xml:space="preserve"> </w:t>
            </w:r>
            <w:r>
              <w:rPr>
                <w:rFonts w:hint="eastAsia" w:ascii="仿宋" w:hAnsi="仿宋" w:eastAsia="仿宋" w:cs="仿宋"/>
                <w:sz w:val="24"/>
                <w:szCs w:val="24"/>
              </w:rPr>
              <w:t>服务“三农”方针政策，以供销合作社体系为依托，自下而上组建农民合作社联合社、创新组织体系、服务体系和农村金融体系</w:t>
            </w:r>
          </w:p>
          <w:p>
            <w:pPr>
              <w:spacing w:line="300" w:lineRule="exact"/>
              <w:jc w:val="left"/>
              <w:rPr>
                <w:rFonts w:ascii="仿宋" w:hAnsi="仿宋" w:eastAsia="仿宋" w:cs="Times New Roman"/>
                <w:sz w:val="24"/>
                <w:szCs w:val="24"/>
              </w:rPr>
            </w:pP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紧紧围绕“三农”工作大局，以密切与农民利益联结为核心，以提升为农服务能力为根本，以强化基</w:t>
            </w:r>
            <w:r>
              <w:rPr>
                <w:rFonts w:ascii="仿宋" w:hAnsi="仿宋" w:eastAsia="仿宋" w:cs="仿宋"/>
                <w:sz w:val="24"/>
                <w:szCs w:val="24"/>
              </w:rPr>
              <w:t xml:space="preserve"> </w:t>
            </w:r>
            <w:r>
              <w:rPr>
                <w:rFonts w:hint="eastAsia" w:ascii="仿宋" w:hAnsi="仿宋" w:eastAsia="仿宋" w:cs="仿宋"/>
                <w:sz w:val="24"/>
                <w:szCs w:val="24"/>
              </w:rPr>
              <w:t>层社和创新联合社治理机制为重点，按照政事分开、社企分开的方向，推进体制改革和机制创新，加快建成适应社会主义市场经济需要、适应城乡发展一体化需要、适应中国特色农业现代化需要的组织体系和服务机制。</w:t>
            </w:r>
          </w:p>
          <w:p>
            <w:pPr>
              <w:spacing w:line="300" w:lineRule="exact"/>
              <w:jc w:val="left"/>
              <w:rPr>
                <w:rFonts w:ascii="仿宋" w:hAnsi="仿宋" w:eastAsia="仿宋" w:cs="Times New Roman"/>
                <w:sz w:val="24"/>
                <w:szCs w:val="24"/>
              </w:rPr>
            </w:pPr>
          </w:p>
        </w:tc>
        <w:tc>
          <w:tcPr>
            <w:tcW w:w="990" w:type="dxa"/>
            <w:vAlign w:val="center"/>
          </w:tcPr>
          <w:p>
            <w:pPr>
              <w:spacing w:line="300" w:lineRule="exact"/>
              <w:jc w:val="left"/>
              <w:rPr>
                <w:rFonts w:ascii="方正书宋_GBK" w:eastAsia="方正书宋_GBK" w:cs="Times New Roman"/>
              </w:rPr>
            </w:pPr>
          </w:p>
        </w:tc>
        <w:tc>
          <w:tcPr>
            <w:tcW w:w="470" w:type="dxa"/>
            <w:gridSpan w:val="2"/>
            <w:vAlign w:val="center"/>
          </w:tcPr>
          <w:p>
            <w:pPr>
              <w:spacing w:line="300" w:lineRule="exact"/>
              <w:jc w:val="center"/>
              <w:rPr>
                <w:rFonts w:ascii="方正书宋_GBK" w:eastAsia="方正书宋_GBK" w:cs="Times New Roman"/>
              </w:rPr>
            </w:pPr>
          </w:p>
        </w:tc>
        <w:tc>
          <w:tcPr>
            <w:tcW w:w="408" w:type="dxa"/>
            <w:vAlign w:val="center"/>
          </w:tcPr>
          <w:p>
            <w:pPr>
              <w:spacing w:line="300" w:lineRule="exact"/>
              <w:jc w:val="center"/>
              <w:rPr>
                <w:rFonts w:ascii="方正书宋_GBK" w:eastAsia="方正书宋_GBK" w:cs="Times New Roman"/>
              </w:rPr>
            </w:pPr>
          </w:p>
        </w:tc>
        <w:tc>
          <w:tcPr>
            <w:tcW w:w="1147" w:type="dxa"/>
            <w:vAlign w:val="center"/>
          </w:tcPr>
          <w:p>
            <w:pPr>
              <w:spacing w:line="300" w:lineRule="exact"/>
              <w:jc w:val="center"/>
              <w:rPr>
                <w:rFonts w:ascii="方正书宋_GBK" w:eastAsia="方正书宋_GBK" w:cs="Times New Roman"/>
              </w:rPr>
            </w:pPr>
          </w:p>
        </w:tc>
        <w:tc>
          <w:tcPr>
            <w:tcW w:w="502" w:type="dxa"/>
            <w:vAlign w:val="center"/>
          </w:tcPr>
          <w:p>
            <w:pPr>
              <w:spacing w:line="300" w:lineRule="exact"/>
              <w:jc w:val="center"/>
              <w:rPr>
                <w:rFonts w:ascii="方正书宋_GBK" w:eastAsia="方正书宋_GBK" w:cs="Times New Roman"/>
              </w:rPr>
            </w:pPr>
          </w:p>
        </w:tc>
        <w:tc>
          <w:tcPr>
            <w:tcW w:w="492" w:type="dxa"/>
            <w:gridSpan w:val="2"/>
            <w:vAlign w:val="center"/>
          </w:tcPr>
          <w:p>
            <w:pPr>
              <w:spacing w:line="300" w:lineRule="exact"/>
              <w:jc w:val="center"/>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852"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1</w:t>
            </w:r>
            <w:r>
              <w:rPr>
                <w:rFonts w:hint="eastAsia" w:ascii="仿宋" w:hAnsi="仿宋" w:eastAsia="仿宋" w:cs="仿宋"/>
                <w:b/>
                <w:bCs/>
                <w:sz w:val="24"/>
                <w:szCs w:val="24"/>
              </w:rPr>
              <w:t>、组织体系建设</w:t>
            </w:r>
          </w:p>
        </w:tc>
        <w:tc>
          <w:tcPr>
            <w:tcW w:w="470" w:type="dxa"/>
            <w:vAlign w:val="center"/>
          </w:tcPr>
          <w:p>
            <w:pPr>
              <w:spacing w:line="300" w:lineRule="exact"/>
              <w:jc w:val="center"/>
              <w:rPr>
                <w:rFonts w:hint="eastAsia" w:ascii="仿宋" w:hAnsi="仿宋" w:eastAsia="仿宋" w:cs="Times New Roman"/>
                <w:sz w:val="24"/>
                <w:szCs w:val="24"/>
                <w:lang w:val="en-US" w:eastAsia="zh-CN"/>
              </w:rPr>
            </w:pPr>
            <w:r>
              <w:rPr>
                <w:rFonts w:hint="eastAsia" w:ascii="仿宋" w:hAnsi="仿宋" w:eastAsia="仿宋" w:cs="Times New Roman"/>
                <w:sz w:val="24"/>
                <w:szCs w:val="24"/>
                <w:lang w:val="en-US" w:eastAsia="zh-CN"/>
              </w:rPr>
              <w:t>3</w:t>
            </w: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以供销合作社体系为依托，自下而上组建农民合作社联合社</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组建农民合作社联合社</w:t>
            </w:r>
          </w:p>
        </w:tc>
        <w:tc>
          <w:tcPr>
            <w:tcW w:w="990"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联合农民专业合作社个数</w:t>
            </w:r>
          </w:p>
        </w:tc>
        <w:tc>
          <w:tcPr>
            <w:tcW w:w="470" w:type="dxa"/>
            <w:gridSpan w:val="2"/>
            <w:vAlign w:val="center"/>
          </w:tcPr>
          <w:p>
            <w:pPr>
              <w:spacing w:line="300" w:lineRule="exact"/>
              <w:jc w:val="center"/>
              <w:rPr>
                <w:rFonts w:ascii="仿宋" w:hAnsi="仿宋" w:eastAsia="仿宋" w:cs="Times New Roman"/>
                <w:sz w:val="24"/>
                <w:szCs w:val="24"/>
              </w:rPr>
            </w:pPr>
            <w:r>
              <w:rPr>
                <w:rFonts w:ascii="仿宋" w:hAnsi="仿宋" w:eastAsia="仿宋" w:cs="仿宋"/>
                <w:sz w:val="24"/>
                <w:szCs w:val="24"/>
              </w:rPr>
              <w:t>10</w:t>
            </w:r>
          </w:p>
        </w:tc>
        <w:tc>
          <w:tcPr>
            <w:tcW w:w="408" w:type="dxa"/>
            <w:vAlign w:val="center"/>
          </w:tcPr>
          <w:p>
            <w:pPr>
              <w:spacing w:line="300" w:lineRule="exact"/>
              <w:jc w:val="center"/>
              <w:rPr>
                <w:rFonts w:ascii="仿宋" w:hAnsi="仿宋" w:eastAsia="仿宋" w:cs="Times New Roman"/>
                <w:sz w:val="24"/>
                <w:szCs w:val="24"/>
              </w:rPr>
            </w:pPr>
            <w:r>
              <w:rPr>
                <w:rFonts w:ascii="仿宋" w:hAnsi="仿宋" w:eastAsia="仿宋" w:cs="仿宋"/>
                <w:sz w:val="24"/>
                <w:szCs w:val="24"/>
              </w:rPr>
              <w:t>7</w:t>
            </w:r>
          </w:p>
        </w:tc>
        <w:tc>
          <w:tcPr>
            <w:tcW w:w="1147" w:type="dxa"/>
            <w:vAlign w:val="center"/>
          </w:tcPr>
          <w:p>
            <w:pPr>
              <w:spacing w:line="300" w:lineRule="exact"/>
              <w:jc w:val="center"/>
              <w:rPr>
                <w:rFonts w:ascii="仿宋" w:hAnsi="仿宋" w:eastAsia="仿宋" w:cs="Times New Roman"/>
                <w:sz w:val="24"/>
                <w:szCs w:val="24"/>
              </w:rPr>
            </w:pPr>
            <w:r>
              <w:rPr>
                <w:rFonts w:ascii="仿宋" w:hAnsi="仿宋" w:eastAsia="仿宋" w:cs="仿宋"/>
                <w:sz w:val="24"/>
                <w:szCs w:val="24"/>
              </w:rPr>
              <w:t>5</w:t>
            </w:r>
          </w:p>
        </w:tc>
        <w:tc>
          <w:tcPr>
            <w:tcW w:w="502" w:type="dxa"/>
            <w:vAlign w:val="center"/>
          </w:tcPr>
          <w:p>
            <w:pPr>
              <w:spacing w:line="300" w:lineRule="exact"/>
              <w:jc w:val="center"/>
              <w:rPr>
                <w:rFonts w:ascii="仿宋" w:hAnsi="仿宋" w:eastAsia="仿宋" w:cs="Times New Roman"/>
                <w:sz w:val="24"/>
                <w:szCs w:val="24"/>
              </w:rPr>
            </w:pPr>
            <w:r>
              <w:rPr>
                <w:rFonts w:ascii="仿宋" w:hAnsi="仿宋" w:eastAsia="仿宋" w:cs="仿宋"/>
                <w:sz w:val="24"/>
                <w:szCs w:val="24"/>
              </w:rPr>
              <w:t>3</w:t>
            </w:r>
          </w:p>
        </w:tc>
        <w:tc>
          <w:tcPr>
            <w:tcW w:w="492" w:type="dxa"/>
            <w:gridSpan w:val="2"/>
            <w:vAlign w:val="center"/>
          </w:tcPr>
          <w:p>
            <w:pPr>
              <w:spacing w:line="300" w:lineRule="exact"/>
              <w:jc w:val="center"/>
              <w:rPr>
                <w:rFonts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3921"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2</w:t>
            </w:r>
            <w:r>
              <w:rPr>
                <w:rFonts w:hint="eastAsia" w:ascii="仿宋" w:hAnsi="仿宋" w:eastAsia="仿宋" w:cs="仿宋"/>
                <w:b/>
                <w:bCs/>
                <w:sz w:val="24"/>
                <w:szCs w:val="24"/>
              </w:rPr>
              <w:t>、服务体系建设</w:t>
            </w:r>
          </w:p>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p>
        </w:tc>
        <w:tc>
          <w:tcPr>
            <w:tcW w:w="470" w:type="dxa"/>
            <w:vAlign w:val="center"/>
          </w:tcPr>
          <w:p>
            <w:pPr>
              <w:spacing w:line="300" w:lineRule="exact"/>
              <w:jc w:val="left"/>
              <w:rPr>
                <w:rFonts w:ascii="仿宋" w:hAnsi="仿宋" w:eastAsia="仿宋" w:cs="Times New Roman"/>
                <w:sz w:val="24"/>
                <w:szCs w:val="24"/>
              </w:rPr>
            </w:pPr>
          </w:p>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供销合作社要把为农服务放在首位。面向农业现代化、面向农民生产生活，推动供销合作社由流通服务向全程农业社会化服务延伸、向全方位城乡社区服务拓展，</w:t>
            </w:r>
            <w:r>
              <w:rPr>
                <w:rFonts w:ascii="仿宋" w:hAnsi="仿宋" w:eastAsia="仿宋" w:cs="仿宋"/>
                <w:sz w:val="24"/>
                <w:szCs w:val="24"/>
              </w:rPr>
              <w:t xml:space="preserve"> </w:t>
            </w:r>
            <w:r>
              <w:rPr>
                <w:rFonts w:hint="eastAsia" w:ascii="仿宋" w:hAnsi="仿宋" w:eastAsia="仿宋" w:cs="仿宋"/>
                <w:sz w:val="24"/>
                <w:szCs w:val="24"/>
              </w:rPr>
              <w:t>加快形成综合性、规模化、可持续的为农服务体系，在农资供应、农产品流通、农民技能培训等重点领域和环节为农民提供便利实惠、安全优质的服务</w:t>
            </w:r>
          </w:p>
          <w:p>
            <w:pPr>
              <w:spacing w:line="300" w:lineRule="exact"/>
              <w:jc w:val="left"/>
              <w:rPr>
                <w:rFonts w:ascii="仿宋" w:hAnsi="仿宋" w:eastAsia="仿宋" w:cs="Times New Roman"/>
                <w:sz w:val="24"/>
                <w:szCs w:val="24"/>
              </w:rPr>
            </w:pP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把供销合作社系统打造成为与农民联结更紧密、为农服务功能更完备、市场化运行更高效的合作经济组织体系，成为服务农民生产生活的生力军和综合平台，成为党和政府密切联系农民群众的桥梁纽带，切实在农业现代化建设中更好地发挥作用。</w:t>
            </w:r>
          </w:p>
        </w:tc>
        <w:tc>
          <w:tcPr>
            <w:tcW w:w="990"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冀农村社区综合服务中心（社、站）数量</w:t>
            </w:r>
          </w:p>
        </w:tc>
        <w:tc>
          <w:tcPr>
            <w:tcW w:w="470" w:type="dxa"/>
            <w:gridSpan w:val="2"/>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w:t>
            </w:r>
            <w:r>
              <w:rPr>
                <w:rFonts w:ascii="仿宋" w:hAnsi="仿宋" w:eastAsia="仿宋" w:cs="仿宋"/>
                <w:sz w:val="24"/>
                <w:szCs w:val="24"/>
              </w:rPr>
              <w:t>130</w:t>
            </w:r>
          </w:p>
        </w:tc>
        <w:tc>
          <w:tcPr>
            <w:tcW w:w="408"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w:t>
            </w:r>
            <w:r>
              <w:rPr>
                <w:rFonts w:ascii="仿宋" w:hAnsi="仿宋" w:eastAsia="仿宋" w:cs="仿宋"/>
                <w:sz w:val="24"/>
                <w:szCs w:val="24"/>
              </w:rPr>
              <w:t>104</w:t>
            </w:r>
          </w:p>
        </w:tc>
        <w:tc>
          <w:tcPr>
            <w:tcW w:w="114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w:t>
            </w:r>
            <w:r>
              <w:rPr>
                <w:rFonts w:ascii="仿宋" w:hAnsi="仿宋" w:eastAsia="仿宋" w:cs="仿宋"/>
                <w:sz w:val="24"/>
                <w:szCs w:val="24"/>
              </w:rPr>
              <w:t>65</w:t>
            </w:r>
          </w:p>
        </w:tc>
        <w:tc>
          <w:tcPr>
            <w:tcW w:w="502"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w:t>
            </w:r>
            <w:r>
              <w:rPr>
                <w:rFonts w:ascii="仿宋" w:hAnsi="仿宋" w:eastAsia="仿宋" w:cs="仿宋"/>
                <w:sz w:val="24"/>
                <w:szCs w:val="24"/>
              </w:rPr>
              <w:t>65</w:t>
            </w:r>
          </w:p>
        </w:tc>
        <w:tc>
          <w:tcPr>
            <w:tcW w:w="492" w:type="dxa"/>
            <w:gridSpan w:val="2"/>
            <w:vAlign w:val="center"/>
          </w:tcPr>
          <w:p>
            <w:pPr>
              <w:spacing w:line="300" w:lineRule="exact"/>
              <w:jc w:val="center"/>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2805"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3</w:t>
            </w:r>
            <w:r>
              <w:rPr>
                <w:rFonts w:hint="eastAsia" w:ascii="仿宋" w:hAnsi="仿宋" w:eastAsia="仿宋" w:cs="仿宋"/>
                <w:b/>
                <w:bCs/>
                <w:sz w:val="24"/>
                <w:szCs w:val="24"/>
              </w:rPr>
              <w:t>、创新农村金融体系建设</w:t>
            </w:r>
          </w:p>
        </w:tc>
        <w:tc>
          <w:tcPr>
            <w:tcW w:w="470" w:type="dxa"/>
            <w:vAlign w:val="center"/>
          </w:tcPr>
          <w:p>
            <w:pPr>
              <w:spacing w:line="300" w:lineRule="exact"/>
              <w:jc w:val="left"/>
              <w:rPr>
                <w:rFonts w:hint="eastAsia" w:ascii="仿宋" w:hAnsi="仿宋" w:eastAsia="仿宋" w:cs="Times New Roman"/>
                <w:sz w:val="24"/>
                <w:szCs w:val="24"/>
                <w:lang w:val="en-US" w:eastAsia="zh-CN"/>
              </w:rPr>
            </w:pPr>
            <w:r>
              <w:rPr>
                <w:rFonts w:hint="eastAsia" w:ascii="仿宋" w:hAnsi="仿宋" w:eastAsia="仿宋" w:cs="Times New Roman"/>
                <w:sz w:val="24"/>
                <w:szCs w:val="24"/>
                <w:lang w:val="en-US" w:eastAsia="zh-CN"/>
              </w:rPr>
              <w:t>2</w:t>
            </w: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创新金融服务方式和手段，创建农村合作金融服务体系，以企业为主体，以市场为导向，通过组织上积极引导、利益上不断凝聚、服务上广泛吸引，整合投资管理、农村产权交易、农村资金互助、小额贷款、村镇银行、互联网金融、融资担保、合作保险、金融租赁和农产品电商等业态，稳步开展农村合作金融服务，实现服务三农、普惠金融目标，真正将供销社打造成上下贯通、利益链接、一体化运营的为农服务的生力军和综合平台</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创建农村合作金融体系</w:t>
            </w:r>
            <w:r>
              <w:rPr>
                <w:rFonts w:ascii="仿宋" w:hAnsi="仿宋" w:eastAsia="仿宋" w:cs="仿宋"/>
                <w:sz w:val="24"/>
                <w:szCs w:val="24"/>
              </w:rPr>
              <w:t>,</w:t>
            </w:r>
            <w:r>
              <w:rPr>
                <w:rFonts w:hint="eastAsia" w:ascii="仿宋" w:hAnsi="仿宋" w:eastAsia="仿宋" w:cs="仿宋"/>
                <w:sz w:val="24"/>
                <w:szCs w:val="24"/>
              </w:rPr>
              <w:t>拓宽“三农”融资的渠道，按照统一要求、标准、计划，完成各项工作的建设任务，实现供销社合作金融体系上下贯通、利益链接、一体化运营。初步实现供销金融超市全县基层全覆盖</w:t>
            </w:r>
          </w:p>
        </w:tc>
        <w:tc>
          <w:tcPr>
            <w:tcW w:w="990"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建设金融超市和村级助农服务网点数量（家）</w:t>
            </w:r>
          </w:p>
        </w:tc>
        <w:tc>
          <w:tcPr>
            <w:tcW w:w="470" w:type="dxa"/>
            <w:gridSpan w:val="2"/>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5</w:t>
            </w:r>
          </w:p>
        </w:tc>
        <w:tc>
          <w:tcPr>
            <w:tcW w:w="408" w:type="dxa"/>
            <w:vAlign w:val="center"/>
          </w:tcPr>
          <w:p>
            <w:pPr>
              <w:spacing w:line="300" w:lineRule="exact"/>
              <w:jc w:val="center"/>
              <w:rPr>
                <w:rFonts w:ascii="仿宋" w:hAnsi="仿宋" w:eastAsia="仿宋" w:cs="Times New Roman"/>
                <w:sz w:val="24"/>
                <w:szCs w:val="24"/>
              </w:rPr>
            </w:pPr>
          </w:p>
        </w:tc>
        <w:tc>
          <w:tcPr>
            <w:tcW w:w="1147" w:type="dxa"/>
            <w:vAlign w:val="center"/>
          </w:tcPr>
          <w:p>
            <w:pPr>
              <w:spacing w:line="300" w:lineRule="exact"/>
              <w:jc w:val="center"/>
              <w:rPr>
                <w:rFonts w:ascii="仿宋" w:hAnsi="仿宋" w:eastAsia="仿宋" w:cs="Times New Roman"/>
                <w:sz w:val="24"/>
                <w:szCs w:val="24"/>
              </w:rPr>
            </w:pPr>
          </w:p>
        </w:tc>
        <w:tc>
          <w:tcPr>
            <w:tcW w:w="502" w:type="dxa"/>
            <w:vAlign w:val="center"/>
          </w:tcPr>
          <w:p>
            <w:pPr>
              <w:spacing w:line="300" w:lineRule="exact"/>
              <w:jc w:val="center"/>
              <w:rPr>
                <w:rFonts w:ascii="仿宋" w:hAnsi="仿宋" w:eastAsia="仿宋" w:cs="Times New Roman"/>
                <w:sz w:val="24"/>
                <w:szCs w:val="24"/>
              </w:rPr>
            </w:pPr>
            <w:r>
              <w:rPr>
                <w:rFonts w:ascii="仿宋" w:hAnsi="仿宋" w:eastAsia="仿宋" w:cs="仿宋"/>
                <w:sz w:val="24"/>
                <w:szCs w:val="24"/>
              </w:rPr>
              <w:t>&lt;5</w:t>
            </w:r>
          </w:p>
        </w:tc>
        <w:tc>
          <w:tcPr>
            <w:tcW w:w="492" w:type="dxa"/>
            <w:gridSpan w:val="2"/>
            <w:vAlign w:val="center"/>
          </w:tcPr>
          <w:p>
            <w:pPr>
              <w:spacing w:line="300" w:lineRule="exact"/>
              <w:jc w:val="center"/>
              <w:rPr>
                <w:rFonts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852"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三、物资储备管理</w:t>
            </w:r>
          </w:p>
        </w:tc>
        <w:tc>
          <w:tcPr>
            <w:tcW w:w="470" w:type="dxa"/>
            <w:vAlign w:val="center"/>
          </w:tcPr>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按照政府授权，承担管理棉花、化肥、农药、羊毛、食盐及救灾物资等重要物资的储备任务</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充分发挥供销社在流通领域的应急调控作用</w:t>
            </w:r>
          </w:p>
        </w:tc>
        <w:tc>
          <w:tcPr>
            <w:tcW w:w="990" w:type="dxa"/>
            <w:vAlign w:val="center"/>
          </w:tcPr>
          <w:p>
            <w:pPr>
              <w:spacing w:line="300" w:lineRule="exact"/>
              <w:jc w:val="left"/>
              <w:rPr>
                <w:rFonts w:ascii="仿宋" w:hAnsi="仿宋" w:eastAsia="仿宋" w:cs="Times New Roman"/>
                <w:sz w:val="24"/>
                <w:szCs w:val="24"/>
              </w:rPr>
            </w:pPr>
          </w:p>
        </w:tc>
        <w:tc>
          <w:tcPr>
            <w:tcW w:w="470" w:type="dxa"/>
            <w:gridSpan w:val="2"/>
            <w:vAlign w:val="center"/>
          </w:tcPr>
          <w:p>
            <w:pPr>
              <w:spacing w:line="300" w:lineRule="exact"/>
              <w:jc w:val="center"/>
              <w:rPr>
                <w:rFonts w:ascii="仿宋" w:hAnsi="仿宋" w:eastAsia="仿宋" w:cs="Times New Roman"/>
                <w:sz w:val="24"/>
                <w:szCs w:val="24"/>
              </w:rPr>
            </w:pPr>
          </w:p>
        </w:tc>
        <w:tc>
          <w:tcPr>
            <w:tcW w:w="408" w:type="dxa"/>
            <w:vAlign w:val="center"/>
          </w:tcPr>
          <w:p>
            <w:pPr>
              <w:spacing w:line="300" w:lineRule="exact"/>
              <w:jc w:val="center"/>
              <w:rPr>
                <w:rFonts w:ascii="仿宋" w:hAnsi="仿宋" w:eastAsia="仿宋" w:cs="Times New Roman"/>
                <w:sz w:val="24"/>
                <w:szCs w:val="24"/>
              </w:rPr>
            </w:pPr>
          </w:p>
        </w:tc>
        <w:tc>
          <w:tcPr>
            <w:tcW w:w="1147" w:type="dxa"/>
            <w:vAlign w:val="center"/>
          </w:tcPr>
          <w:p>
            <w:pPr>
              <w:spacing w:line="300" w:lineRule="exact"/>
              <w:jc w:val="center"/>
              <w:rPr>
                <w:rFonts w:ascii="仿宋" w:hAnsi="仿宋" w:eastAsia="仿宋" w:cs="Times New Roman"/>
                <w:sz w:val="24"/>
                <w:szCs w:val="24"/>
              </w:rPr>
            </w:pPr>
          </w:p>
        </w:tc>
        <w:tc>
          <w:tcPr>
            <w:tcW w:w="502" w:type="dxa"/>
            <w:vAlign w:val="center"/>
          </w:tcPr>
          <w:p>
            <w:pPr>
              <w:spacing w:line="300" w:lineRule="exact"/>
              <w:jc w:val="center"/>
              <w:rPr>
                <w:rFonts w:ascii="仿宋" w:hAnsi="仿宋" w:eastAsia="仿宋" w:cs="Times New Roman"/>
                <w:sz w:val="24"/>
                <w:szCs w:val="24"/>
              </w:rPr>
            </w:pPr>
          </w:p>
        </w:tc>
        <w:tc>
          <w:tcPr>
            <w:tcW w:w="492" w:type="dxa"/>
            <w:gridSpan w:val="2"/>
            <w:vAlign w:val="center"/>
          </w:tcPr>
          <w:p>
            <w:pPr>
              <w:spacing w:line="300" w:lineRule="exact"/>
              <w:jc w:val="center"/>
              <w:rPr>
                <w:rFonts w:ascii="仿宋" w:hAnsi="仿宋" w:eastAsia="仿宋" w:cs="Times New Roman"/>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1689"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1</w:t>
            </w:r>
            <w:r>
              <w:rPr>
                <w:rFonts w:hint="eastAsia" w:ascii="仿宋" w:hAnsi="仿宋" w:eastAsia="仿宋" w:cs="仿宋"/>
                <w:b/>
                <w:bCs/>
                <w:sz w:val="24"/>
                <w:szCs w:val="24"/>
              </w:rPr>
              <w:t>、重要商品物资储备及监管</w:t>
            </w:r>
          </w:p>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p>
        </w:tc>
        <w:tc>
          <w:tcPr>
            <w:tcW w:w="470" w:type="dxa"/>
            <w:vAlign w:val="center"/>
          </w:tcPr>
          <w:p>
            <w:pPr>
              <w:spacing w:line="300" w:lineRule="exact"/>
              <w:jc w:val="left"/>
              <w:rPr>
                <w:rFonts w:ascii="仿宋" w:hAnsi="仿宋" w:eastAsia="仿宋" w:cs="Times New Roman"/>
                <w:sz w:val="24"/>
                <w:szCs w:val="24"/>
              </w:rPr>
            </w:pPr>
          </w:p>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调节商品供求关系，稳定物价、保障市场供应、保证防汛救灾的需要、增强政府对市场的宏观调控能力和应急保障</w:t>
            </w:r>
          </w:p>
          <w:p>
            <w:pPr>
              <w:spacing w:line="300" w:lineRule="exact"/>
              <w:jc w:val="left"/>
              <w:rPr>
                <w:rFonts w:ascii="仿宋" w:hAnsi="仿宋" w:eastAsia="仿宋" w:cs="Times New Roman"/>
                <w:sz w:val="24"/>
                <w:szCs w:val="24"/>
              </w:rPr>
            </w:pP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安排、组织代储企业依据储备计划及时足额、保质保量做好储备商品的收储、轮换等工作</w:t>
            </w:r>
          </w:p>
        </w:tc>
        <w:tc>
          <w:tcPr>
            <w:tcW w:w="990"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储备计划完成率</w:t>
            </w:r>
          </w:p>
        </w:tc>
        <w:tc>
          <w:tcPr>
            <w:tcW w:w="470" w:type="dxa"/>
            <w:gridSpan w:val="2"/>
            <w:vAlign w:val="center"/>
          </w:tcPr>
          <w:p>
            <w:pPr>
              <w:spacing w:line="300" w:lineRule="exact"/>
              <w:jc w:val="center"/>
              <w:rPr>
                <w:rFonts w:ascii="仿宋" w:hAnsi="仿宋" w:eastAsia="仿宋" w:cs="Times New Roman"/>
                <w:sz w:val="24"/>
                <w:szCs w:val="24"/>
              </w:rPr>
            </w:pPr>
            <w:r>
              <w:rPr>
                <w:rFonts w:ascii="仿宋" w:hAnsi="仿宋" w:eastAsia="仿宋" w:cs="仿宋"/>
                <w:sz w:val="24"/>
                <w:szCs w:val="24"/>
              </w:rPr>
              <w:t>100%</w:t>
            </w:r>
          </w:p>
        </w:tc>
        <w:tc>
          <w:tcPr>
            <w:tcW w:w="408"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95%</w:t>
            </w:r>
          </w:p>
        </w:tc>
        <w:tc>
          <w:tcPr>
            <w:tcW w:w="114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90%</w:t>
            </w:r>
          </w:p>
        </w:tc>
        <w:tc>
          <w:tcPr>
            <w:tcW w:w="502"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w:t>
            </w:r>
            <w:r>
              <w:rPr>
                <w:rFonts w:ascii="仿宋" w:hAnsi="仿宋" w:eastAsia="仿宋" w:cs="仿宋"/>
                <w:sz w:val="24"/>
                <w:szCs w:val="24"/>
              </w:rPr>
              <w:t>90%</w:t>
            </w:r>
          </w:p>
        </w:tc>
        <w:tc>
          <w:tcPr>
            <w:tcW w:w="492" w:type="dxa"/>
            <w:gridSpan w:val="2"/>
            <w:vAlign w:val="center"/>
          </w:tcPr>
          <w:p>
            <w:pPr>
              <w:spacing w:line="300" w:lineRule="exact"/>
              <w:jc w:val="center"/>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852"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四、盐务管理</w:t>
            </w:r>
          </w:p>
        </w:tc>
        <w:tc>
          <w:tcPr>
            <w:tcW w:w="470" w:type="dxa"/>
            <w:vAlign w:val="center"/>
          </w:tcPr>
          <w:p>
            <w:pPr>
              <w:spacing w:line="300" w:lineRule="exact"/>
              <w:jc w:val="left"/>
              <w:rPr>
                <w:rFonts w:ascii="仿宋" w:hAnsi="仿宋" w:eastAsia="仿宋" w:cs="Times New Roman"/>
                <w:sz w:val="24"/>
                <w:szCs w:val="24"/>
              </w:rPr>
            </w:pPr>
            <w:r>
              <w:rPr>
                <w:rFonts w:ascii="仿宋" w:hAnsi="仿宋" w:eastAsia="仿宋" w:cs="仿宋"/>
                <w:sz w:val="24"/>
                <w:szCs w:val="24"/>
              </w:rPr>
              <w:t>50000.00</w:t>
            </w: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组织开展全县盐业行政执法活动，打击盐业违法行为、对直属企业进行改革和管理</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保障食盐在生产、流通环节的安全</w:t>
            </w:r>
          </w:p>
        </w:tc>
        <w:tc>
          <w:tcPr>
            <w:tcW w:w="990" w:type="dxa"/>
            <w:vAlign w:val="center"/>
          </w:tcPr>
          <w:p>
            <w:pPr>
              <w:spacing w:line="300" w:lineRule="exact"/>
              <w:jc w:val="left"/>
              <w:rPr>
                <w:rFonts w:ascii="方正书宋_GBK" w:eastAsia="方正书宋_GBK" w:cs="Times New Roman"/>
              </w:rPr>
            </w:pPr>
          </w:p>
        </w:tc>
        <w:tc>
          <w:tcPr>
            <w:tcW w:w="470" w:type="dxa"/>
            <w:gridSpan w:val="2"/>
            <w:vAlign w:val="center"/>
          </w:tcPr>
          <w:p>
            <w:pPr>
              <w:spacing w:line="300" w:lineRule="exact"/>
              <w:jc w:val="center"/>
              <w:rPr>
                <w:rFonts w:ascii="方正书宋_GBK" w:eastAsia="方正书宋_GBK" w:cs="Times New Roman"/>
              </w:rPr>
            </w:pPr>
          </w:p>
        </w:tc>
        <w:tc>
          <w:tcPr>
            <w:tcW w:w="408" w:type="dxa"/>
            <w:vAlign w:val="center"/>
          </w:tcPr>
          <w:p>
            <w:pPr>
              <w:spacing w:line="300" w:lineRule="exact"/>
              <w:jc w:val="center"/>
              <w:rPr>
                <w:rFonts w:ascii="方正书宋_GBK" w:eastAsia="方正书宋_GBK" w:cs="Times New Roman"/>
              </w:rPr>
            </w:pPr>
          </w:p>
        </w:tc>
        <w:tc>
          <w:tcPr>
            <w:tcW w:w="1147" w:type="dxa"/>
            <w:vAlign w:val="center"/>
          </w:tcPr>
          <w:p>
            <w:pPr>
              <w:spacing w:line="300" w:lineRule="exact"/>
              <w:jc w:val="center"/>
              <w:rPr>
                <w:rFonts w:ascii="方正书宋_GBK" w:eastAsia="方正书宋_GBK" w:cs="Times New Roman"/>
              </w:rPr>
            </w:pPr>
          </w:p>
        </w:tc>
        <w:tc>
          <w:tcPr>
            <w:tcW w:w="502" w:type="dxa"/>
            <w:vAlign w:val="center"/>
          </w:tcPr>
          <w:p>
            <w:pPr>
              <w:spacing w:line="300" w:lineRule="exact"/>
              <w:jc w:val="center"/>
              <w:rPr>
                <w:rFonts w:ascii="方正书宋_GBK" w:eastAsia="方正书宋_GBK" w:cs="Times New Roman"/>
              </w:rPr>
            </w:pPr>
          </w:p>
        </w:tc>
        <w:tc>
          <w:tcPr>
            <w:tcW w:w="492" w:type="dxa"/>
            <w:gridSpan w:val="2"/>
            <w:vAlign w:val="center"/>
          </w:tcPr>
          <w:p>
            <w:pPr>
              <w:spacing w:line="300" w:lineRule="exact"/>
              <w:jc w:val="center"/>
              <w:rPr>
                <w:rFonts w:ascii="方正书宋_GBK" w:eastAsia="方正书宋_GBK"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1689"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1</w:t>
            </w:r>
            <w:r>
              <w:rPr>
                <w:rFonts w:hint="eastAsia" w:ascii="仿宋" w:hAnsi="仿宋" w:eastAsia="仿宋" w:cs="仿宋"/>
                <w:b/>
                <w:bCs/>
                <w:sz w:val="24"/>
                <w:szCs w:val="24"/>
              </w:rPr>
              <w:t>、组织实施盐政执法</w:t>
            </w:r>
          </w:p>
        </w:tc>
        <w:tc>
          <w:tcPr>
            <w:tcW w:w="470" w:type="dxa"/>
            <w:vAlign w:val="center"/>
          </w:tcPr>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组织开展全县盐业行政执法活动，打击盐业违法行为，查处重大盐业违法案件。规范盐业行政执法案件程序和执法案卷；追究执法过错责任，纠正违法执法行为</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全县盐业违法行为得到有效打击和遏制，实现食盐安全生产和流通</w:t>
            </w:r>
          </w:p>
        </w:tc>
        <w:tc>
          <w:tcPr>
            <w:tcW w:w="990"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重大盐业违法行为、案件处理率</w:t>
            </w:r>
          </w:p>
        </w:tc>
        <w:tc>
          <w:tcPr>
            <w:tcW w:w="470" w:type="dxa"/>
            <w:gridSpan w:val="2"/>
            <w:vAlign w:val="center"/>
          </w:tcPr>
          <w:p>
            <w:pPr>
              <w:spacing w:line="300" w:lineRule="exact"/>
              <w:jc w:val="center"/>
              <w:rPr>
                <w:rFonts w:ascii="仿宋" w:hAnsi="仿宋" w:eastAsia="仿宋" w:cs="仿宋"/>
                <w:sz w:val="24"/>
                <w:szCs w:val="24"/>
              </w:rPr>
            </w:pPr>
            <w:r>
              <w:rPr>
                <w:rFonts w:ascii="仿宋" w:hAnsi="仿宋" w:eastAsia="仿宋" w:cs="仿宋"/>
                <w:sz w:val="24"/>
                <w:szCs w:val="24"/>
              </w:rPr>
              <w:t>100%</w:t>
            </w:r>
          </w:p>
        </w:tc>
        <w:tc>
          <w:tcPr>
            <w:tcW w:w="408"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98%</w:t>
            </w:r>
          </w:p>
        </w:tc>
        <w:tc>
          <w:tcPr>
            <w:tcW w:w="114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96%</w:t>
            </w:r>
          </w:p>
        </w:tc>
        <w:tc>
          <w:tcPr>
            <w:tcW w:w="502"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96%</w:t>
            </w:r>
          </w:p>
        </w:tc>
        <w:tc>
          <w:tcPr>
            <w:tcW w:w="492" w:type="dxa"/>
            <w:gridSpan w:val="2"/>
            <w:vAlign w:val="center"/>
          </w:tcPr>
          <w:p>
            <w:pPr>
              <w:spacing w:line="300" w:lineRule="exact"/>
              <w:jc w:val="center"/>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869"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2</w:t>
            </w:r>
            <w:r>
              <w:rPr>
                <w:rFonts w:hint="eastAsia" w:ascii="仿宋" w:hAnsi="仿宋" w:eastAsia="仿宋" w:cs="仿宋"/>
                <w:b/>
                <w:bCs/>
                <w:sz w:val="24"/>
                <w:szCs w:val="24"/>
              </w:rPr>
              <w:t>、盐业体制改革</w:t>
            </w:r>
          </w:p>
        </w:tc>
        <w:tc>
          <w:tcPr>
            <w:tcW w:w="470" w:type="dxa"/>
            <w:vAlign w:val="center"/>
          </w:tcPr>
          <w:p>
            <w:pPr>
              <w:spacing w:line="300" w:lineRule="exact"/>
              <w:jc w:val="left"/>
              <w:rPr>
                <w:rFonts w:ascii="仿宋" w:hAnsi="仿宋" w:eastAsia="仿宋" w:cs="Times New Roman"/>
                <w:sz w:val="24"/>
                <w:szCs w:val="24"/>
              </w:rPr>
            </w:pPr>
            <w:r>
              <w:rPr>
                <w:rFonts w:ascii="仿宋" w:hAnsi="仿宋" w:eastAsia="仿宋" w:cs="仿宋"/>
                <w:sz w:val="24"/>
                <w:szCs w:val="24"/>
              </w:rPr>
              <w:t>50000.00</w:t>
            </w: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按照县政府安排推动盐业体制改革工作</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完成县政府交办的改革任务</w:t>
            </w:r>
          </w:p>
        </w:tc>
        <w:tc>
          <w:tcPr>
            <w:tcW w:w="990"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县政府改革任务完成率</w:t>
            </w:r>
          </w:p>
        </w:tc>
        <w:tc>
          <w:tcPr>
            <w:tcW w:w="470" w:type="dxa"/>
            <w:gridSpan w:val="2"/>
            <w:vAlign w:val="center"/>
          </w:tcPr>
          <w:p>
            <w:pPr>
              <w:spacing w:line="300" w:lineRule="exact"/>
              <w:jc w:val="center"/>
              <w:rPr>
                <w:rFonts w:ascii="仿宋" w:hAnsi="仿宋" w:eastAsia="仿宋" w:cs="仿宋"/>
                <w:sz w:val="24"/>
                <w:szCs w:val="24"/>
              </w:rPr>
            </w:pPr>
            <w:r>
              <w:rPr>
                <w:rFonts w:ascii="仿宋" w:hAnsi="仿宋" w:eastAsia="仿宋" w:cs="仿宋"/>
                <w:sz w:val="24"/>
                <w:szCs w:val="24"/>
              </w:rPr>
              <w:t>100%</w:t>
            </w:r>
          </w:p>
        </w:tc>
        <w:tc>
          <w:tcPr>
            <w:tcW w:w="408"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80%</w:t>
            </w:r>
          </w:p>
        </w:tc>
        <w:tc>
          <w:tcPr>
            <w:tcW w:w="114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60%</w:t>
            </w:r>
          </w:p>
        </w:tc>
        <w:tc>
          <w:tcPr>
            <w:tcW w:w="502"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60%</w:t>
            </w:r>
          </w:p>
        </w:tc>
        <w:tc>
          <w:tcPr>
            <w:tcW w:w="492" w:type="dxa"/>
            <w:gridSpan w:val="2"/>
            <w:vAlign w:val="center"/>
          </w:tcPr>
          <w:p>
            <w:pPr>
              <w:spacing w:line="300" w:lineRule="exact"/>
              <w:jc w:val="center"/>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1131"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五、供销合作政务管理</w:t>
            </w:r>
          </w:p>
        </w:tc>
        <w:tc>
          <w:tcPr>
            <w:tcW w:w="470" w:type="dxa"/>
            <w:vAlign w:val="center"/>
          </w:tcPr>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负责供销合作社系统综合业务管理和机关综合事务管理</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确保各项业务工作谋划到位、顺利开展</w:t>
            </w:r>
            <w:r>
              <w:rPr>
                <w:rFonts w:ascii="仿宋" w:hAnsi="仿宋" w:eastAsia="仿宋" w:cs="仿宋"/>
                <w:sz w:val="24"/>
                <w:szCs w:val="24"/>
              </w:rPr>
              <w:t>,</w:t>
            </w:r>
            <w:r>
              <w:rPr>
                <w:rFonts w:hint="eastAsia" w:ascii="仿宋" w:hAnsi="仿宋" w:eastAsia="仿宋" w:cs="仿宋"/>
                <w:sz w:val="24"/>
                <w:szCs w:val="24"/>
              </w:rPr>
              <w:t>保障机关工作正常高效运转</w:t>
            </w:r>
          </w:p>
        </w:tc>
        <w:tc>
          <w:tcPr>
            <w:tcW w:w="990" w:type="dxa"/>
            <w:vAlign w:val="center"/>
          </w:tcPr>
          <w:p>
            <w:pPr>
              <w:spacing w:line="300" w:lineRule="exact"/>
              <w:jc w:val="left"/>
              <w:rPr>
                <w:rFonts w:ascii="仿宋" w:hAnsi="仿宋" w:eastAsia="仿宋" w:cs="Times New Roman"/>
                <w:sz w:val="24"/>
                <w:szCs w:val="24"/>
              </w:rPr>
            </w:pPr>
          </w:p>
        </w:tc>
        <w:tc>
          <w:tcPr>
            <w:tcW w:w="470" w:type="dxa"/>
            <w:gridSpan w:val="2"/>
            <w:vAlign w:val="center"/>
          </w:tcPr>
          <w:p>
            <w:pPr>
              <w:spacing w:line="300" w:lineRule="exact"/>
              <w:jc w:val="center"/>
              <w:rPr>
                <w:rFonts w:ascii="仿宋" w:hAnsi="仿宋" w:eastAsia="仿宋" w:cs="Times New Roman"/>
                <w:sz w:val="24"/>
                <w:szCs w:val="24"/>
              </w:rPr>
            </w:pPr>
          </w:p>
        </w:tc>
        <w:tc>
          <w:tcPr>
            <w:tcW w:w="408" w:type="dxa"/>
            <w:vAlign w:val="center"/>
          </w:tcPr>
          <w:p>
            <w:pPr>
              <w:spacing w:line="300" w:lineRule="exact"/>
              <w:jc w:val="center"/>
              <w:rPr>
                <w:rFonts w:ascii="仿宋" w:hAnsi="仿宋" w:eastAsia="仿宋" w:cs="Times New Roman"/>
                <w:sz w:val="24"/>
                <w:szCs w:val="24"/>
              </w:rPr>
            </w:pPr>
          </w:p>
        </w:tc>
        <w:tc>
          <w:tcPr>
            <w:tcW w:w="1147" w:type="dxa"/>
            <w:vAlign w:val="center"/>
          </w:tcPr>
          <w:p>
            <w:pPr>
              <w:spacing w:line="300" w:lineRule="exact"/>
              <w:jc w:val="center"/>
              <w:rPr>
                <w:rFonts w:ascii="仿宋" w:hAnsi="仿宋" w:eastAsia="仿宋" w:cs="Times New Roman"/>
                <w:sz w:val="24"/>
                <w:szCs w:val="24"/>
              </w:rPr>
            </w:pPr>
          </w:p>
        </w:tc>
        <w:tc>
          <w:tcPr>
            <w:tcW w:w="502" w:type="dxa"/>
            <w:vAlign w:val="center"/>
          </w:tcPr>
          <w:p>
            <w:pPr>
              <w:spacing w:line="300" w:lineRule="exact"/>
              <w:jc w:val="center"/>
              <w:rPr>
                <w:rFonts w:ascii="仿宋" w:hAnsi="仿宋" w:eastAsia="仿宋" w:cs="Times New Roman"/>
                <w:sz w:val="24"/>
                <w:szCs w:val="24"/>
              </w:rPr>
            </w:pPr>
          </w:p>
        </w:tc>
        <w:tc>
          <w:tcPr>
            <w:tcW w:w="492" w:type="dxa"/>
            <w:gridSpan w:val="2"/>
            <w:vAlign w:val="center"/>
          </w:tcPr>
          <w:p>
            <w:pPr>
              <w:spacing w:line="300" w:lineRule="exact"/>
              <w:jc w:val="center"/>
              <w:rPr>
                <w:rFonts w:ascii="仿宋" w:hAnsi="仿宋" w:eastAsia="仿宋" w:cs="Times New Roman"/>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1689"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1</w:t>
            </w:r>
            <w:r>
              <w:rPr>
                <w:rFonts w:hint="eastAsia" w:ascii="仿宋" w:hAnsi="仿宋" w:eastAsia="仿宋" w:cs="仿宋"/>
                <w:b/>
                <w:bCs/>
                <w:sz w:val="24"/>
                <w:szCs w:val="24"/>
              </w:rPr>
              <w:t>、综合业务管理</w:t>
            </w:r>
          </w:p>
        </w:tc>
        <w:tc>
          <w:tcPr>
            <w:tcW w:w="470" w:type="dxa"/>
            <w:vAlign w:val="center"/>
          </w:tcPr>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制订系统发展战略和规划、指导系统业务活动和综合改革试点及事业发展；开展行业调查研究，制定相关行业政策、法规规章制度；信访接待、业务宣传、政务信息公开等工作</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确保各项业务工作谋划到位、顺利开展</w:t>
            </w:r>
          </w:p>
        </w:tc>
        <w:tc>
          <w:tcPr>
            <w:tcW w:w="990"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系统业务活动完成率</w:t>
            </w:r>
          </w:p>
        </w:tc>
        <w:tc>
          <w:tcPr>
            <w:tcW w:w="470" w:type="dxa"/>
            <w:gridSpan w:val="2"/>
            <w:vAlign w:val="center"/>
          </w:tcPr>
          <w:p>
            <w:pPr>
              <w:spacing w:line="300" w:lineRule="exact"/>
              <w:jc w:val="center"/>
              <w:rPr>
                <w:rFonts w:ascii="仿宋" w:hAnsi="仿宋" w:eastAsia="仿宋" w:cs="仿宋"/>
                <w:sz w:val="24"/>
                <w:szCs w:val="24"/>
              </w:rPr>
            </w:pPr>
            <w:r>
              <w:rPr>
                <w:rFonts w:ascii="仿宋" w:hAnsi="仿宋" w:eastAsia="仿宋" w:cs="仿宋"/>
                <w:sz w:val="24"/>
                <w:szCs w:val="24"/>
              </w:rPr>
              <w:t>100%</w:t>
            </w:r>
          </w:p>
        </w:tc>
        <w:tc>
          <w:tcPr>
            <w:tcW w:w="408"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95%</w:t>
            </w:r>
          </w:p>
        </w:tc>
        <w:tc>
          <w:tcPr>
            <w:tcW w:w="114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90%</w:t>
            </w:r>
          </w:p>
        </w:tc>
        <w:tc>
          <w:tcPr>
            <w:tcW w:w="502"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90%</w:t>
            </w:r>
          </w:p>
        </w:tc>
        <w:tc>
          <w:tcPr>
            <w:tcW w:w="492" w:type="dxa"/>
            <w:gridSpan w:val="2"/>
            <w:vAlign w:val="center"/>
          </w:tcPr>
          <w:p>
            <w:pPr>
              <w:spacing w:line="300" w:lineRule="exact"/>
              <w:jc w:val="center"/>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1131" w:hRule="atLeast"/>
          <w:jc w:val="center"/>
        </w:trPr>
        <w:tc>
          <w:tcPr>
            <w:tcW w:w="1742" w:type="dxa"/>
            <w:vAlign w:val="center"/>
          </w:tcPr>
          <w:p>
            <w:pPr>
              <w:spacing w:line="300" w:lineRule="exact"/>
              <w:jc w:val="left"/>
              <w:rPr>
                <w:rFonts w:ascii="仿宋" w:hAnsi="仿宋" w:eastAsia="仿宋" w:cs="Times New Roman"/>
                <w:b/>
                <w:bCs/>
                <w:sz w:val="24"/>
                <w:szCs w:val="24"/>
              </w:rPr>
            </w:pPr>
            <w:r>
              <w:rPr>
                <w:rFonts w:hint="eastAsia" w:ascii="仿宋" w:hAnsi="仿宋" w:eastAsia="仿宋" w:cs="仿宋"/>
                <w:b/>
                <w:bCs/>
                <w:sz w:val="24"/>
                <w:szCs w:val="24"/>
              </w:rPr>
              <w:t>　　</w:t>
            </w:r>
            <w:r>
              <w:rPr>
                <w:rFonts w:ascii="仿宋" w:hAnsi="仿宋" w:eastAsia="仿宋" w:cs="仿宋"/>
                <w:b/>
                <w:bCs/>
                <w:sz w:val="24"/>
                <w:szCs w:val="24"/>
              </w:rPr>
              <w:t>2</w:t>
            </w:r>
            <w:r>
              <w:rPr>
                <w:rFonts w:hint="eastAsia" w:ascii="仿宋" w:hAnsi="仿宋" w:eastAsia="仿宋" w:cs="仿宋"/>
                <w:b/>
                <w:bCs/>
                <w:sz w:val="24"/>
                <w:szCs w:val="24"/>
              </w:rPr>
              <w:t>、综合事务管理</w:t>
            </w:r>
          </w:p>
        </w:tc>
        <w:tc>
          <w:tcPr>
            <w:tcW w:w="470" w:type="dxa"/>
            <w:vAlign w:val="center"/>
          </w:tcPr>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会议组织管理、信息化建设与维护、机关财务和资产管理、标准化建设、基建及维修、设备购置、人事管理、机关党工委工作、老干部工作等</w:t>
            </w:r>
          </w:p>
        </w:tc>
        <w:tc>
          <w:tcPr>
            <w:tcW w:w="1481"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保障机关工作正常高效运转</w:t>
            </w:r>
          </w:p>
        </w:tc>
        <w:tc>
          <w:tcPr>
            <w:tcW w:w="990" w:type="dxa"/>
            <w:vAlign w:val="center"/>
          </w:tcPr>
          <w:p>
            <w:pPr>
              <w:spacing w:line="300" w:lineRule="exact"/>
              <w:jc w:val="left"/>
              <w:rPr>
                <w:rFonts w:ascii="仿宋" w:hAnsi="仿宋" w:eastAsia="仿宋" w:cs="Times New Roman"/>
                <w:sz w:val="24"/>
                <w:szCs w:val="24"/>
              </w:rPr>
            </w:pPr>
            <w:r>
              <w:rPr>
                <w:rFonts w:hint="eastAsia" w:ascii="仿宋" w:hAnsi="仿宋" w:eastAsia="仿宋" w:cs="仿宋"/>
                <w:sz w:val="24"/>
                <w:szCs w:val="24"/>
              </w:rPr>
              <w:t>综合行政事务办结率</w:t>
            </w:r>
          </w:p>
        </w:tc>
        <w:tc>
          <w:tcPr>
            <w:tcW w:w="470" w:type="dxa"/>
            <w:gridSpan w:val="2"/>
            <w:vAlign w:val="center"/>
          </w:tcPr>
          <w:p>
            <w:pPr>
              <w:spacing w:line="300" w:lineRule="exact"/>
              <w:jc w:val="center"/>
              <w:rPr>
                <w:rFonts w:ascii="仿宋" w:hAnsi="仿宋" w:eastAsia="仿宋" w:cs="仿宋"/>
                <w:sz w:val="24"/>
                <w:szCs w:val="24"/>
              </w:rPr>
            </w:pPr>
            <w:r>
              <w:rPr>
                <w:rFonts w:ascii="仿宋" w:hAnsi="仿宋" w:eastAsia="仿宋" w:cs="仿宋"/>
                <w:sz w:val="24"/>
                <w:szCs w:val="24"/>
              </w:rPr>
              <w:t>100%</w:t>
            </w:r>
          </w:p>
        </w:tc>
        <w:tc>
          <w:tcPr>
            <w:tcW w:w="408"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95%</w:t>
            </w:r>
          </w:p>
        </w:tc>
        <w:tc>
          <w:tcPr>
            <w:tcW w:w="1147"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90%</w:t>
            </w:r>
          </w:p>
        </w:tc>
        <w:tc>
          <w:tcPr>
            <w:tcW w:w="502" w:type="dxa"/>
            <w:vAlign w:val="center"/>
          </w:tcPr>
          <w:p>
            <w:pPr>
              <w:spacing w:line="300" w:lineRule="exact"/>
              <w:jc w:val="center"/>
              <w:rPr>
                <w:rFonts w:ascii="仿宋" w:hAnsi="仿宋" w:eastAsia="仿宋" w:cs="Times New Roman"/>
                <w:sz w:val="24"/>
                <w:szCs w:val="24"/>
              </w:rPr>
            </w:pPr>
            <w:r>
              <w:rPr>
                <w:rFonts w:hint="eastAsia" w:ascii="仿宋" w:hAnsi="仿宋" w:eastAsia="仿宋" w:cs="仿宋"/>
                <w:sz w:val="24"/>
                <w:szCs w:val="24"/>
              </w:rPr>
              <w:t>＜</w:t>
            </w:r>
            <w:r>
              <w:rPr>
                <w:rFonts w:ascii="仿宋" w:hAnsi="仿宋" w:eastAsia="仿宋" w:cs="仿宋"/>
                <w:sz w:val="24"/>
                <w:szCs w:val="24"/>
              </w:rPr>
              <w:t>90%</w:t>
            </w:r>
          </w:p>
        </w:tc>
        <w:tc>
          <w:tcPr>
            <w:tcW w:w="492" w:type="dxa"/>
            <w:gridSpan w:val="2"/>
            <w:vAlign w:val="center"/>
          </w:tcPr>
          <w:p>
            <w:pPr>
              <w:spacing w:line="300" w:lineRule="exact"/>
              <w:jc w:val="center"/>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293" w:hRule="atLeast"/>
          <w:jc w:val="center"/>
        </w:trPr>
        <w:tc>
          <w:tcPr>
            <w:tcW w:w="1742" w:type="dxa"/>
            <w:vAlign w:val="center"/>
          </w:tcPr>
          <w:p>
            <w:pPr>
              <w:spacing w:line="300" w:lineRule="exact"/>
              <w:jc w:val="left"/>
              <w:rPr>
                <w:rFonts w:hint="eastAsia" w:ascii="仿宋" w:hAnsi="仿宋" w:eastAsia="仿宋" w:cs="仿宋"/>
                <w:b/>
                <w:bCs/>
                <w:sz w:val="24"/>
                <w:szCs w:val="24"/>
              </w:rPr>
            </w:pPr>
          </w:p>
        </w:tc>
        <w:tc>
          <w:tcPr>
            <w:tcW w:w="470" w:type="dxa"/>
            <w:vAlign w:val="center"/>
          </w:tcPr>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hint="eastAsia" w:ascii="仿宋" w:hAnsi="仿宋" w:eastAsia="仿宋" w:cs="仿宋"/>
                <w:sz w:val="24"/>
                <w:szCs w:val="24"/>
              </w:rPr>
            </w:pPr>
          </w:p>
        </w:tc>
        <w:tc>
          <w:tcPr>
            <w:tcW w:w="1481" w:type="dxa"/>
            <w:vAlign w:val="center"/>
          </w:tcPr>
          <w:p>
            <w:pPr>
              <w:spacing w:line="300" w:lineRule="exact"/>
              <w:jc w:val="left"/>
              <w:rPr>
                <w:rFonts w:hint="eastAsia" w:ascii="仿宋" w:hAnsi="仿宋" w:eastAsia="仿宋" w:cs="仿宋"/>
                <w:sz w:val="24"/>
                <w:szCs w:val="24"/>
              </w:rPr>
            </w:pPr>
          </w:p>
        </w:tc>
        <w:tc>
          <w:tcPr>
            <w:tcW w:w="990" w:type="dxa"/>
            <w:vAlign w:val="center"/>
          </w:tcPr>
          <w:p>
            <w:pPr>
              <w:spacing w:line="300" w:lineRule="exact"/>
              <w:jc w:val="left"/>
              <w:rPr>
                <w:rFonts w:hint="eastAsia" w:ascii="仿宋" w:hAnsi="仿宋" w:eastAsia="仿宋" w:cs="仿宋"/>
                <w:sz w:val="24"/>
                <w:szCs w:val="24"/>
              </w:rPr>
            </w:pPr>
          </w:p>
        </w:tc>
        <w:tc>
          <w:tcPr>
            <w:tcW w:w="470" w:type="dxa"/>
            <w:gridSpan w:val="2"/>
            <w:vAlign w:val="center"/>
          </w:tcPr>
          <w:p>
            <w:pPr>
              <w:spacing w:line="300" w:lineRule="exact"/>
              <w:jc w:val="center"/>
              <w:rPr>
                <w:rFonts w:ascii="仿宋" w:hAnsi="仿宋" w:eastAsia="仿宋" w:cs="仿宋"/>
                <w:sz w:val="24"/>
                <w:szCs w:val="24"/>
              </w:rPr>
            </w:pPr>
          </w:p>
        </w:tc>
        <w:tc>
          <w:tcPr>
            <w:tcW w:w="408" w:type="dxa"/>
            <w:vAlign w:val="center"/>
          </w:tcPr>
          <w:p>
            <w:pPr>
              <w:spacing w:line="300" w:lineRule="exact"/>
              <w:jc w:val="center"/>
              <w:rPr>
                <w:rFonts w:hint="eastAsia" w:ascii="仿宋" w:hAnsi="仿宋" w:eastAsia="仿宋" w:cs="仿宋"/>
                <w:sz w:val="24"/>
                <w:szCs w:val="24"/>
              </w:rPr>
            </w:pPr>
          </w:p>
        </w:tc>
        <w:tc>
          <w:tcPr>
            <w:tcW w:w="1147" w:type="dxa"/>
            <w:vAlign w:val="center"/>
          </w:tcPr>
          <w:p>
            <w:pPr>
              <w:spacing w:line="300" w:lineRule="exact"/>
              <w:jc w:val="center"/>
              <w:rPr>
                <w:rFonts w:hint="eastAsia" w:ascii="仿宋" w:hAnsi="仿宋" w:eastAsia="仿宋" w:cs="仿宋"/>
                <w:sz w:val="24"/>
                <w:szCs w:val="24"/>
              </w:rPr>
            </w:pPr>
          </w:p>
        </w:tc>
        <w:tc>
          <w:tcPr>
            <w:tcW w:w="502" w:type="dxa"/>
            <w:vAlign w:val="center"/>
          </w:tcPr>
          <w:p>
            <w:pPr>
              <w:spacing w:line="300" w:lineRule="exact"/>
              <w:jc w:val="center"/>
              <w:rPr>
                <w:rFonts w:hint="eastAsia" w:ascii="仿宋" w:hAnsi="仿宋" w:eastAsia="仿宋" w:cs="仿宋"/>
                <w:sz w:val="24"/>
                <w:szCs w:val="24"/>
              </w:rPr>
            </w:pPr>
          </w:p>
        </w:tc>
        <w:tc>
          <w:tcPr>
            <w:tcW w:w="492" w:type="dxa"/>
            <w:gridSpan w:val="2"/>
            <w:vAlign w:val="center"/>
          </w:tcPr>
          <w:p>
            <w:pPr>
              <w:spacing w:line="300" w:lineRule="exact"/>
              <w:jc w:val="center"/>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 w:type="dxa"/>
          <w:trHeight w:val="307" w:hRule="atLeast"/>
          <w:jc w:val="center"/>
        </w:trPr>
        <w:tc>
          <w:tcPr>
            <w:tcW w:w="1742" w:type="dxa"/>
            <w:vAlign w:val="center"/>
          </w:tcPr>
          <w:p>
            <w:pPr>
              <w:spacing w:line="300" w:lineRule="exact"/>
              <w:jc w:val="left"/>
              <w:rPr>
                <w:rFonts w:hint="eastAsia" w:ascii="仿宋" w:hAnsi="仿宋" w:eastAsia="仿宋" w:cs="仿宋"/>
                <w:b/>
                <w:bCs/>
                <w:sz w:val="24"/>
                <w:szCs w:val="24"/>
              </w:rPr>
            </w:pPr>
          </w:p>
        </w:tc>
        <w:tc>
          <w:tcPr>
            <w:tcW w:w="470" w:type="dxa"/>
            <w:vAlign w:val="center"/>
          </w:tcPr>
          <w:p>
            <w:pPr>
              <w:spacing w:line="300" w:lineRule="exact"/>
              <w:jc w:val="left"/>
              <w:rPr>
                <w:rFonts w:ascii="仿宋" w:hAnsi="仿宋" w:eastAsia="仿宋" w:cs="Times New Roman"/>
                <w:sz w:val="24"/>
                <w:szCs w:val="24"/>
              </w:rPr>
            </w:pPr>
          </w:p>
        </w:tc>
        <w:tc>
          <w:tcPr>
            <w:tcW w:w="2277" w:type="dxa"/>
            <w:vAlign w:val="center"/>
          </w:tcPr>
          <w:p>
            <w:pPr>
              <w:spacing w:line="300" w:lineRule="exact"/>
              <w:jc w:val="left"/>
              <w:rPr>
                <w:rFonts w:hint="eastAsia" w:ascii="仿宋" w:hAnsi="仿宋" w:eastAsia="仿宋" w:cs="仿宋"/>
                <w:sz w:val="24"/>
                <w:szCs w:val="24"/>
              </w:rPr>
            </w:pPr>
          </w:p>
        </w:tc>
        <w:tc>
          <w:tcPr>
            <w:tcW w:w="1481" w:type="dxa"/>
            <w:vAlign w:val="center"/>
          </w:tcPr>
          <w:p>
            <w:pPr>
              <w:spacing w:line="300" w:lineRule="exact"/>
              <w:jc w:val="left"/>
              <w:rPr>
                <w:rFonts w:hint="eastAsia" w:ascii="仿宋" w:hAnsi="仿宋" w:eastAsia="仿宋" w:cs="仿宋"/>
                <w:sz w:val="24"/>
                <w:szCs w:val="24"/>
              </w:rPr>
            </w:pPr>
          </w:p>
        </w:tc>
        <w:tc>
          <w:tcPr>
            <w:tcW w:w="990" w:type="dxa"/>
            <w:vAlign w:val="center"/>
          </w:tcPr>
          <w:p>
            <w:pPr>
              <w:spacing w:line="300" w:lineRule="exact"/>
              <w:jc w:val="left"/>
              <w:rPr>
                <w:rFonts w:hint="eastAsia" w:ascii="仿宋" w:hAnsi="仿宋" w:eastAsia="仿宋" w:cs="仿宋"/>
                <w:sz w:val="24"/>
                <w:szCs w:val="24"/>
              </w:rPr>
            </w:pPr>
          </w:p>
        </w:tc>
        <w:tc>
          <w:tcPr>
            <w:tcW w:w="470" w:type="dxa"/>
            <w:gridSpan w:val="2"/>
            <w:vAlign w:val="center"/>
          </w:tcPr>
          <w:p>
            <w:pPr>
              <w:spacing w:line="300" w:lineRule="exact"/>
              <w:jc w:val="center"/>
              <w:rPr>
                <w:rFonts w:ascii="仿宋" w:hAnsi="仿宋" w:eastAsia="仿宋" w:cs="仿宋"/>
                <w:sz w:val="24"/>
                <w:szCs w:val="24"/>
              </w:rPr>
            </w:pPr>
          </w:p>
        </w:tc>
        <w:tc>
          <w:tcPr>
            <w:tcW w:w="408" w:type="dxa"/>
            <w:vAlign w:val="center"/>
          </w:tcPr>
          <w:p>
            <w:pPr>
              <w:spacing w:line="300" w:lineRule="exact"/>
              <w:jc w:val="center"/>
              <w:rPr>
                <w:rFonts w:hint="eastAsia" w:ascii="仿宋" w:hAnsi="仿宋" w:eastAsia="仿宋" w:cs="仿宋"/>
                <w:sz w:val="24"/>
                <w:szCs w:val="24"/>
              </w:rPr>
            </w:pPr>
          </w:p>
        </w:tc>
        <w:tc>
          <w:tcPr>
            <w:tcW w:w="1147" w:type="dxa"/>
            <w:vAlign w:val="center"/>
          </w:tcPr>
          <w:p>
            <w:pPr>
              <w:spacing w:line="300" w:lineRule="exact"/>
              <w:jc w:val="center"/>
              <w:rPr>
                <w:rFonts w:hint="eastAsia" w:ascii="仿宋" w:hAnsi="仿宋" w:eastAsia="仿宋" w:cs="仿宋"/>
                <w:sz w:val="24"/>
                <w:szCs w:val="24"/>
              </w:rPr>
            </w:pPr>
          </w:p>
        </w:tc>
        <w:tc>
          <w:tcPr>
            <w:tcW w:w="502" w:type="dxa"/>
            <w:vAlign w:val="center"/>
          </w:tcPr>
          <w:p>
            <w:pPr>
              <w:spacing w:line="300" w:lineRule="exact"/>
              <w:jc w:val="center"/>
              <w:rPr>
                <w:rFonts w:hint="eastAsia" w:ascii="仿宋" w:hAnsi="仿宋" w:eastAsia="仿宋" w:cs="仿宋"/>
                <w:sz w:val="24"/>
                <w:szCs w:val="24"/>
              </w:rPr>
            </w:pPr>
          </w:p>
        </w:tc>
        <w:tc>
          <w:tcPr>
            <w:tcW w:w="492" w:type="dxa"/>
            <w:gridSpan w:val="2"/>
            <w:vAlign w:val="center"/>
          </w:tcPr>
          <w:p>
            <w:pPr>
              <w:spacing w:line="300" w:lineRule="exact"/>
              <w:jc w:val="center"/>
              <w:rPr>
                <w:rFonts w:hint="eastAsia" w:ascii="仿宋" w:hAnsi="仿宋" w:eastAsia="仿宋" w:cs="仿宋"/>
                <w:sz w:val="24"/>
                <w:szCs w:val="24"/>
              </w:rPr>
            </w:pPr>
          </w:p>
        </w:tc>
      </w:tr>
    </w:tbl>
    <w:p>
      <w:pPr>
        <w:spacing w:line="300" w:lineRule="exact"/>
        <w:jc w:val="left"/>
        <w:outlineLvl w:val="0"/>
        <w:rPr>
          <w:rFonts w:cs="Times New Roman"/>
        </w:rPr>
        <w:sectPr>
          <w:pgSz w:w="11907" w:h="16839"/>
          <w:pgMar w:top="1361" w:right="1020" w:bottom="1361" w:left="1020"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lang w:val="en-US" w:eastAsia="zh-CN"/>
        </w:rPr>
        <w:t xml:space="preserve">    2020</w:t>
      </w:r>
      <w:r>
        <w:rPr>
          <w:rFonts w:hint="eastAsia" w:ascii="Times New Roman" w:hAnsi="Times New Roman" w:eastAsia="仿宋" w:cs="仿宋"/>
          <w:sz w:val="32"/>
          <w:szCs w:val="32"/>
        </w:rPr>
        <w:t>年，我部门无安排政府采购预算。</w:t>
      </w:r>
    </w:p>
    <w:p>
      <w:pPr>
        <w:tabs>
          <w:tab w:val="left" w:pos="945"/>
        </w:tabs>
        <w:rPr>
          <w:rFonts w:ascii="Times New Roman" w:hAnsi="Times New Roman" w:eastAsia="仿宋" w:cs="Times New Roman"/>
          <w:sz w:val="32"/>
          <w:szCs w:val="32"/>
        </w:rPr>
      </w:pPr>
      <w:r>
        <w:rPr>
          <w:rFonts w:ascii="Times New Roman" w:hAnsi="Times New Roman" w:eastAsia="仿宋" w:cs="Times New Roman"/>
          <w:sz w:val="32"/>
          <w:szCs w:val="32"/>
        </w:rPr>
        <w:tab/>
      </w:r>
      <w:r>
        <w:rPr>
          <w:rFonts w:hint="eastAsia" w:ascii="黑体" w:hAnsi="黑体" w:eastAsia="黑体" w:cs="黑体"/>
          <w:sz w:val="32"/>
          <w:szCs w:val="32"/>
        </w:rPr>
        <w:t>七、国有资产信息</w:t>
      </w:r>
    </w:p>
    <w:p>
      <w:pPr>
        <w:ind w:left="479" w:leftChars="228" w:firstLine="640" w:firstLineChars="20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隆尧县供销合作社</w:t>
      </w:r>
      <w:r>
        <w:rPr>
          <w:rFonts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hint="eastAsia" w:ascii="Times New Roman" w:hAnsi="Times New Roman" w:eastAsia="仿宋" w:cs="仿宋"/>
          <w:color w:val="000000"/>
          <w:sz w:val="32"/>
          <w:szCs w:val="32"/>
        </w:rPr>
        <w:t>年末固定资产金额为</w:t>
      </w:r>
      <w:r>
        <w:rPr>
          <w:rFonts w:ascii="Times New Roman" w:hAnsi="Times New Roman" w:eastAsia="仿宋" w:cs="Times New Roman"/>
          <w:color w:val="000000"/>
          <w:sz w:val="32"/>
          <w:szCs w:val="32"/>
        </w:rPr>
        <w:t>833.99</w:t>
      </w:r>
      <w:r>
        <w:rPr>
          <w:rFonts w:hint="eastAsia" w:ascii="Times New Roman" w:hAnsi="Times New Roman" w:eastAsia="仿宋" w:cs="仿宋"/>
          <w:color w:val="000000"/>
          <w:sz w:val="32"/>
          <w:szCs w:val="32"/>
        </w:rPr>
        <w:t>万元（详见下表），本年度各单位（处室）拟购置固定资产总额为</w:t>
      </w:r>
      <w:r>
        <w:rPr>
          <w:rFonts w:ascii="Times New Roman" w:hAnsi="Times New Roman" w:eastAsia="仿宋" w:cs="Times New Roman"/>
          <w:color w:val="000000"/>
          <w:sz w:val="32"/>
          <w:szCs w:val="32"/>
        </w:rPr>
        <w:t>0</w:t>
      </w:r>
      <w:r>
        <w:rPr>
          <w:rFonts w:hint="eastAsia" w:ascii="Times New Roman" w:hAnsi="Times New Roman" w:eastAsia="仿宋" w:cs="仿宋"/>
          <w:color w:val="000000"/>
          <w:sz w:val="32"/>
          <w:szCs w:val="32"/>
        </w:rPr>
        <w:t>万元，详见政府采购预算表。</w:t>
      </w:r>
    </w:p>
    <w:tbl>
      <w:tblPr>
        <w:tblStyle w:val="7"/>
        <w:tblW w:w="9100" w:type="dxa"/>
        <w:tblInd w:w="565" w:type="dxa"/>
        <w:tblLayout w:type="fixed"/>
        <w:tblCellMar>
          <w:top w:w="0" w:type="dxa"/>
          <w:left w:w="108" w:type="dxa"/>
          <w:bottom w:w="0" w:type="dxa"/>
          <w:right w:w="108" w:type="dxa"/>
        </w:tblCellMar>
      </w:tblPr>
      <w:tblGrid>
        <w:gridCol w:w="3526"/>
        <w:gridCol w:w="2130"/>
        <w:gridCol w:w="3444"/>
      </w:tblGrid>
      <w:tr>
        <w:trPr>
          <w:trHeight w:val="684" w:hRule="atLeast"/>
        </w:trPr>
        <w:tc>
          <w:tcPr>
            <w:tcW w:w="9100"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隆尧县供销合作社固定资产占用情况表</w:t>
            </w:r>
          </w:p>
        </w:tc>
      </w:tr>
      <w:tr>
        <w:tblPrEx>
          <w:tblCellMar>
            <w:top w:w="0" w:type="dxa"/>
            <w:left w:w="108" w:type="dxa"/>
            <w:bottom w:w="0" w:type="dxa"/>
            <w:right w:w="108" w:type="dxa"/>
          </w:tblCellMar>
        </w:tblPrEx>
        <w:trPr>
          <w:trHeight w:val="495" w:hRule="atLeast"/>
        </w:trPr>
        <w:tc>
          <w:tcPr>
            <w:tcW w:w="5656"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编制部门：隆尧县供销合作社</w:t>
            </w:r>
          </w:p>
        </w:tc>
        <w:tc>
          <w:tcPr>
            <w:tcW w:w="3444"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lang w:val="en-US" w:eastAsia="zh-CN"/>
              </w:rPr>
              <w:t>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35" w:hRule="atLeast"/>
        </w:trPr>
        <w:tc>
          <w:tcPr>
            <w:tcW w:w="352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2130"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3444"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44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ascii="Times New Roman" w:hAnsi="Times New Roman" w:eastAsia="仿宋" w:cs="Times New Roman"/>
                <w:color w:val="000000"/>
                <w:kern w:val="0"/>
                <w:sz w:val="22"/>
                <w:szCs w:val="22"/>
              </w:rPr>
              <w:t>833.99</w:t>
            </w:r>
          </w:p>
        </w:tc>
      </w:tr>
      <w:tr>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13000</w:t>
            </w:r>
          </w:p>
        </w:tc>
        <w:tc>
          <w:tcPr>
            <w:tcW w:w="344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813.15</w:t>
            </w:r>
          </w:p>
        </w:tc>
      </w:tr>
      <w:tr>
        <w:tblPrEx>
          <w:tblCellMar>
            <w:top w:w="0" w:type="dxa"/>
            <w:left w:w="108" w:type="dxa"/>
            <w:bottom w:w="0" w:type="dxa"/>
            <w:right w:w="108" w:type="dxa"/>
          </w:tblCellMar>
        </w:tblPrEx>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13000</w:t>
            </w:r>
          </w:p>
        </w:tc>
        <w:tc>
          <w:tcPr>
            <w:tcW w:w="344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813.15</w:t>
            </w:r>
          </w:p>
        </w:tc>
      </w:tr>
      <w:tr>
        <w:tblPrEx>
          <w:tblCellMar>
            <w:top w:w="0" w:type="dxa"/>
            <w:left w:w="108" w:type="dxa"/>
            <w:bottom w:w="0" w:type="dxa"/>
            <w:right w:w="108" w:type="dxa"/>
          </w:tblCellMar>
        </w:tblPrEx>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p>
        </w:tc>
        <w:tc>
          <w:tcPr>
            <w:tcW w:w="344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15</w:t>
            </w:r>
          </w:p>
        </w:tc>
      </w:tr>
      <w:tr>
        <w:tblPrEx>
          <w:tblCellMar>
            <w:top w:w="0" w:type="dxa"/>
            <w:left w:w="108" w:type="dxa"/>
            <w:bottom w:w="0" w:type="dxa"/>
            <w:right w:w="108" w:type="dxa"/>
          </w:tblCellMar>
        </w:tblPrEx>
        <w:trPr>
          <w:trHeight w:val="63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44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3526"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213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3444"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5.8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left="1118" w:leftChars="304" w:hanging="480" w:hangingChars="15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left="1118" w:leftChars="304" w:hanging="480" w:hangingChars="15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left="1118" w:leftChars="304" w:hanging="480" w:hangingChars="15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left="1278" w:leftChars="304" w:hanging="640" w:hanging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sectPr>
          <w:pgSz w:w="11907" w:h="16839"/>
          <w:pgMar w:top="1020" w:right="1361" w:bottom="1020" w:left="1361" w:header="851" w:footer="992" w:gutter="0"/>
          <w:cols w:space="720" w:num="1"/>
          <w:docGrid w:type="lines" w:linePitch="312" w:charSpace="0"/>
        </w:sectPr>
      </w:pPr>
      <w:r>
        <w:rPr>
          <w:rFonts w:hint="eastAsia" w:ascii="Times New Roman" w:hAnsi="Times New Roman" w:eastAsia="仿宋" w:cs="仿宋"/>
          <w:sz w:val="32"/>
          <w:szCs w:val="32"/>
        </w:rPr>
        <w:t>我部门无其他需要说明的事项</w:t>
      </w:r>
    </w:p>
    <w:bookmarkEnd w:id="0"/>
    <w:p>
      <w:pPr>
        <w:rPr>
          <w:rFonts w:ascii="Times New Roman" w:hAnsi="Times New Roman" w:eastAsia="仿宋" w:cs="Times New Roman"/>
          <w:sz w:val="32"/>
          <w:szCs w:val="32"/>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2631F8"/>
    <w:rsid w:val="00323B29"/>
    <w:rsid w:val="0039059E"/>
    <w:rsid w:val="007F0341"/>
    <w:rsid w:val="009A521C"/>
    <w:rsid w:val="00D607DA"/>
    <w:rsid w:val="00DC6EE5"/>
    <w:rsid w:val="00EE71BA"/>
    <w:rsid w:val="00F867E4"/>
    <w:rsid w:val="05AA7F74"/>
    <w:rsid w:val="0ACB2C96"/>
    <w:rsid w:val="0B312D6C"/>
    <w:rsid w:val="0C94654A"/>
    <w:rsid w:val="0D597D7C"/>
    <w:rsid w:val="0EA7513B"/>
    <w:rsid w:val="1021628C"/>
    <w:rsid w:val="1046339C"/>
    <w:rsid w:val="19141161"/>
    <w:rsid w:val="1B796224"/>
    <w:rsid w:val="1BF13113"/>
    <w:rsid w:val="1D977511"/>
    <w:rsid w:val="1E352505"/>
    <w:rsid w:val="1E7179FE"/>
    <w:rsid w:val="1EA32A0B"/>
    <w:rsid w:val="21281B19"/>
    <w:rsid w:val="23B50F6F"/>
    <w:rsid w:val="267847C1"/>
    <w:rsid w:val="2C2357B7"/>
    <w:rsid w:val="2CD163AB"/>
    <w:rsid w:val="2FA15F71"/>
    <w:rsid w:val="2FBB035B"/>
    <w:rsid w:val="30A4379B"/>
    <w:rsid w:val="31B670A7"/>
    <w:rsid w:val="32CC4BB5"/>
    <w:rsid w:val="3505225C"/>
    <w:rsid w:val="38E521D2"/>
    <w:rsid w:val="3D970528"/>
    <w:rsid w:val="3EBC20B1"/>
    <w:rsid w:val="40796BF6"/>
    <w:rsid w:val="422B2460"/>
    <w:rsid w:val="42CC0539"/>
    <w:rsid w:val="42DE23F7"/>
    <w:rsid w:val="43FA54B2"/>
    <w:rsid w:val="452D30C0"/>
    <w:rsid w:val="46265E5E"/>
    <w:rsid w:val="4CE00FD4"/>
    <w:rsid w:val="557B158E"/>
    <w:rsid w:val="5A742055"/>
    <w:rsid w:val="5AA43E60"/>
    <w:rsid w:val="5BBD1849"/>
    <w:rsid w:val="5C1717E4"/>
    <w:rsid w:val="5C2A5665"/>
    <w:rsid w:val="5E6F79D2"/>
    <w:rsid w:val="61316092"/>
    <w:rsid w:val="624110EB"/>
    <w:rsid w:val="636267EC"/>
    <w:rsid w:val="64084E20"/>
    <w:rsid w:val="650878D3"/>
    <w:rsid w:val="65A24C43"/>
    <w:rsid w:val="68911596"/>
    <w:rsid w:val="695C72F1"/>
    <w:rsid w:val="6A767767"/>
    <w:rsid w:val="6CF322AA"/>
    <w:rsid w:val="6EA47B72"/>
    <w:rsid w:val="72AD06C3"/>
    <w:rsid w:val="76972099"/>
    <w:rsid w:val="7F6C1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basedOn w:val="8"/>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0</TotalTime>
  <ScaleCrop>false</ScaleCrop>
  <LinksUpToDate>false</LinksUpToDate>
  <CharactersWithSpaces>8841</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一路向北</cp:lastModifiedBy>
  <cp:lastPrinted>2020-01-10T15:53:00Z</cp:lastPrinted>
  <dcterms:modified xsi:type="dcterms:W3CDTF">2021-05-24T04:01:30Z</dcterms:modified>
  <cp:revision>6</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31BCF23AE42C4FBCBBDC8B82BAD5FB8E</vt:lpwstr>
  </property>
</Properties>
</file>