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隆尧县妇女联合会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按照《预算法》、《地方预决算公开操作规程》和《河北省省级预算公开办法》规定，现将隆尧县妇女联合会</w:t>
      </w:r>
      <w:r>
        <w:rPr>
          <w:rFonts w:ascii="仿宋" w:hAnsi="仿宋" w:eastAsia="仿宋" w:cs="仿宋"/>
          <w:sz w:val="32"/>
          <w:szCs w:val="32"/>
        </w:rPr>
        <w:t>20</w:t>
      </w:r>
      <w:r>
        <w:rPr>
          <w:rFonts w:hint="eastAsia" w:ascii="仿宋" w:hAnsi="仿宋" w:eastAsia="仿宋" w:cs="仿宋"/>
          <w:sz w:val="32"/>
          <w:szCs w:val="32"/>
        </w:rPr>
        <w:t>20年部门预算公开如下：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autoSpaceDE w:val="0"/>
        <w:autoSpaceDN w:val="0"/>
        <w:ind w:firstLine="964" w:firstLineChars="300"/>
        <w:rPr>
          <w:rFonts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团结、动员全县妇女投身改革开放和社会主义经济、政治、文化、社会和生态文明建设，引导全县妇女听党话、跟党走，发扬“四自”精神，全面提高妇女素质，促进妇女人才成长，维护妇女儿童合法权益。</w:t>
      </w:r>
    </w:p>
    <w:p>
      <w:pPr>
        <w:rPr>
          <w:rFonts w:ascii="仿宋" w:hAnsi="仿宋" w:eastAsia="仿宋" w:cs="Times New Roman"/>
          <w:b/>
          <w:bCs/>
          <w:sz w:val="32"/>
          <w:szCs w:val="32"/>
        </w:rPr>
      </w:pPr>
    </w:p>
    <w:p>
      <w:pPr>
        <w:autoSpaceDE w:val="0"/>
        <w:autoSpaceDN w:val="0"/>
        <w:adjustRightInd w:val="0"/>
        <w:ind w:firstLine="707" w:firstLineChars="221"/>
        <w:jc w:val="left"/>
        <w:rPr>
          <w:rFonts w:ascii="仿宋_GB2312" w:hAnsi="仿宋_GB2312" w:eastAsia="仿宋_GB2312" w:cs="Times New Roman"/>
          <w:kern w:val="0"/>
          <w:sz w:val="32"/>
          <w:szCs w:val="32"/>
        </w:rPr>
      </w:pPr>
      <w:r>
        <w:rPr>
          <w:rFonts w:hint="eastAsia" w:ascii="仿宋_GB2312" w:hAnsi="仿宋_GB2312" w:eastAsia="仿宋_GB2312" w:cs="仿宋_GB2312"/>
          <w:kern w:val="0"/>
          <w:sz w:val="32"/>
          <w:szCs w:val="32"/>
        </w:rPr>
        <w:t>隆尧县妇女联合会部门机构设置情况：</w:t>
      </w:r>
    </w:p>
    <w:tbl>
      <w:tblPr>
        <w:tblStyle w:val="12"/>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隆尧县妇女联合会</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按照预算管理有关规定，目前我县部门预算的编制实行综合预算管理，即全部收入和支出都反映的预算中。隆尧县妇女联合会的收支包含在部门预算中。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46.81</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46.81</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收支预算总表支出栏、基本支出表、项目支出表按经济分类和支出功能分类科目编制，反映隆尧县妇女联合会年度部门预算中支出预算的总体情况。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4</w:t>
      </w:r>
      <w:r>
        <w:rPr>
          <w:rFonts w:hint="eastAsia" w:ascii="Times New Roman" w:hAnsi="Times New Roman" w:eastAsia="仿宋" w:cs="Times New Roman"/>
          <w:sz w:val="32"/>
          <w:szCs w:val="32"/>
        </w:rPr>
        <w:t>6.81</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28.31</w:t>
      </w:r>
      <w:r>
        <w:rPr>
          <w:rFonts w:hint="eastAsia" w:ascii="Times New Roman" w:hAnsi="Times New Roman" w:eastAsia="仿宋" w:cs="仿宋"/>
          <w:sz w:val="32"/>
          <w:szCs w:val="32"/>
        </w:rPr>
        <w:t>元，包括人员经费</w:t>
      </w:r>
      <w:r>
        <w:rPr>
          <w:rFonts w:hint="eastAsia" w:ascii="Times New Roman" w:hAnsi="Times New Roman" w:eastAsia="仿宋" w:cs="Times New Roman"/>
          <w:sz w:val="32"/>
          <w:szCs w:val="32"/>
        </w:rPr>
        <w:t>25.67</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2.64</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18.5</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46.81</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rPr>
        <w:t>9</w:t>
      </w:r>
      <w:r>
        <w:rPr>
          <w:rFonts w:hint="eastAsia" w:ascii="Times New Roman" w:hAnsi="Times New Roman" w:eastAsia="仿宋" w:cs="仿宋"/>
          <w:sz w:val="32"/>
          <w:szCs w:val="32"/>
        </w:rPr>
        <w:t>年减少</w:t>
      </w:r>
      <w:r>
        <w:rPr>
          <w:rFonts w:hint="eastAsia" w:ascii="Times New Roman" w:hAnsi="Times New Roman" w:eastAsia="仿宋" w:cs="Times New Roman"/>
          <w:sz w:val="32"/>
          <w:szCs w:val="32"/>
        </w:rPr>
        <w:t>0.68</w:t>
      </w:r>
      <w:r>
        <w:rPr>
          <w:rFonts w:hint="eastAsia" w:ascii="Times New Roman" w:hAnsi="Times New Roman" w:eastAsia="仿宋" w:cs="仿宋"/>
          <w:sz w:val="32"/>
          <w:szCs w:val="32"/>
        </w:rPr>
        <w:t>万元，其中原因为：缩减经费。</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_GB2312" w:hAnsi="仿宋_GB2312" w:eastAsia="仿宋_GB2312" w:cs="Times New Roman"/>
          <w:color w:val="000000"/>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2.64</w:t>
      </w:r>
      <w:r>
        <w:rPr>
          <w:rFonts w:hint="eastAsia" w:ascii="Times New Roman" w:hAnsi="Times New Roman" w:eastAsia="仿宋" w:cs="仿宋"/>
          <w:sz w:val="32"/>
          <w:szCs w:val="32"/>
        </w:rPr>
        <w:t>万元，主要用于保证机关正常运转的</w:t>
      </w:r>
      <w:r>
        <w:rPr>
          <w:rFonts w:hint="eastAsia" w:ascii="仿宋_GB2312" w:hAnsi="仿宋_GB2312" w:eastAsia="仿宋_GB2312" w:cs="仿宋_GB2312"/>
          <w:color w:val="000000"/>
          <w:sz w:val="32"/>
          <w:szCs w:val="32"/>
        </w:rPr>
        <w:t>办公费、福利费、其他交通费用等日常运行支出。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1.10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万元；主要是公务接待费比上年减少</w:t>
      </w:r>
      <w:r>
        <w:rPr>
          <w:rFonts w:ascii="Times New Roman" w:hAnsi="Times New Roman" w:eastAsia="仿宋" w:cs="Times New Roman"/>
          <w:sz w:val="32"/>
          <w:szCs w:val="32"/>
        </w:rPr>
        <w:t>0.</w:t>
      </w:r>
      <w:r>
        <w:rPr>
          <w:rFonts w:hint="eastAsia" w:ascii="Times New Roman" w:hAnsi="Times New Roman" w:eastAsia="仿宋" w:cs="Times New Roman"/>
          <w:sz w:val="32"/>
          <w:szCs w:val="32"/>
        </w:rPr>
        <w:t>19</w:t>
      </w:r>
      <w:r>
        <w:rPr>
          <w:rFonts w:hint="eastAsia" w:ascii="Times New Roman" w:hAnsi="Times New Roman" w:eastAsia="仿宋" w:cs="仿宋"/>
          <w:sz w:val="32"/>
          <w:szCs w:val="32"/>
        </w:rPr>
        <w:t>万元，减少原因为厉行节约、压缩开支</w:t>
      </w:r>
      <w:r>
        <w:rPr>
          <w:rFonts w:hint="eastAsia" w:ascii="Times New Roman" w:hAnsi="Times New Roman" w:eastAsia="仿宋" w:cs="仿宋"/>
          <w:sz w:val="32"/>
          <w:szCs w:val="32"/>
          <w:lang w:eastAsia="zh-CN"/>
        </w:rPr>
        <w:t>。</w:t>
      </w:r>
      <w:bookmarkStart w:id="4" w:name="_GoBack"/>
      <w:bookmarkEnd w:id="4"/>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仿宋" w:cs="仿宋"/>
          <w:sz w:val="32"/>
          <w:szCs w:val="32"/>
        </w:rPr>
        <w:t>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一</w:t>
      </w:r>
      <w:r>
        <w:rPr>
          <w:rFonts w:ascii="Times New Roman" w:hAnsi="Times New Roman" w:eastAsia="仿宋" w:cs="Times New Roman"/>
          <w:sz w:val="32"/>
          <w:szCs w:val="32"/>
        </w:rPr>
        <w:t>)</w:t>
      </w:r>
      <w:r>
        <w:rPr>
          <w:rFonts w:hint="eastAsia" w:ascii="Times New Roman" w:hAnsi="Times New Roman" w:eastAsia="仿宋" w:cs="仿宋"/>
          <w:sz w:val="32"/>
          <w:szCs w:val="32"/>
        </w:rPr>
        <w:t>、围绕县委县政府中心工作</w:t>
      </w:r>
      <w:r>
        <w:rPr>
          <w:rFonts w:ascii="Times New Roman" w:hAnsi="Times New Roman" w:eastAsia="仿宋" w:cs="Times New Roman"/>
          <w:sz w:val="32"/>
          <w:szCs w:val="32"/>
        </w:rPr>
        <w:t>,</w:t>
      </w:r>
      <w:r>
        <w:rPr>
          <w:rFonts w:hint="eastAsia" w:ascii="Times New Roman" w:hAnsi="Times New Roman" w:eastAsia="仿宋" w:cs="仿宋"/>
          <w:sz w:val="32"/>
          <w:szCs w:val="32"/>
        </w:rPr>
        <w:t>引领妇女抓创业促发展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、加强城乡妇女学习培训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、搭建创业就业平台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w:t>
      </w:r>
      <w:r>
        <w:rPr>
          <w:rFonts w:hint="eastAsia" w:ascii="Times New Roman" w:hAnsi="Times New Roman" w:eastAsia="仿宋" w:cs="仿宋"/>
          <w:sz w:val="32"/>
          <w:szCs w:val="32"/>
        </w:rPr>
        <w:t>二</w:t>
      </w:r>
      <w:r>
        <w:rPr>
          <w:rFonts w:ascii="Times New Roman" w:hAnsi="Times New Roman" w:eastAsia="仿宋" w:cs="Times New Roman"/>
          <w:sz w:val="32"/>
          <w:szCs w:val="32"/>
        </w:rPr>
        <w:t>)</w:t>
      </w:r>
      <w:r>
        <w:rPr>
          <w:rFonts w:hint="eastAsia" w:ascii="Times New Roman" w:hAnsi="Times New Roman" w:eastAsia="仿宋" w:cs="仿宋"/>
          <w:sz w:val="32"/>
          <w:szCs w:val="32"/>
        </w:rPr>
        <w:t>、履职尽责</w:t>
      </w:r>
      <w:r>
        <w:rPr>
          <w:rFonts w:ascii="Times New Roman" w:hAnsi="Times New Roman" w:eastAsia="仿宋" w:cs="Times New Roman"/>
          <w:sz w:val="32"/>
          <w:szCs w:val="32"/>
        </w:rPr>
        <w:t>,</w:t>
      </w:r>
      <w:r>
        <w:rPr>
          <w:rFonts w:hint="eastAsia" w:ascii="Times New Roman" w:hAnsi="Times New Roman" w:eastAsia="仿宋" w:cs="仿宋"/>
          <w:sz w:val="32"/>
          <w:szCs w:val="32"/>
        </w:rPr>
        <w:t>依法维护妇女儿童合法权益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、认真做好信访接待工作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、切实加强法制宣传力度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、切实关注弱势妇女儿童</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w:t>
      </w:r>
      <w:r>
        <w:rPr>
          <w:rFonts w:hint="eastAsia" w:ascii="Times New Roman" w:hAnsi="Times New Roman" w:eastAsia="仿宋" w:cs="仿宋"/>
          <w:sz w:val="32"/>
          <w:szCs w:val="32"/>
        </w:rPr>
        <w:t>三</w:t>
      </w:r>
      <w:r>
        <w:rPr>
          <w:rFonts w:ascii="Times New Roman" w:hAnsi="Times New Roman" w:eastAsia="仿宋" w:cs="Times New Roman"/>
          <w:sz w:val="32"/>
          <w:szCs w:val="32"/>
        </w:rPr>
        <w:t>)</w:t>
      </w:r>
      <w:r>
        <w:rPr>
          <w:rFonts w:hint="eastAsia" w:ascii="Times New Roman" w:hAnsi="Times New Roman" w:eastAsia="仿宋" w:cs="仿宋"/>
          <w:sz w:val="32"/>
          <w:szCs w:val="32"/>
        </w:rPr>
        <w:t>、精心组织</w:t>
      </w:r>
      <w:r>
        <w:rPr>
          <w:rFonts w:ascii="Times New Roman" w:hAnsi="Times New Roman" w:eastAsia="仿宋" w:cs="Times New Roman"/>
          <w:sz w:val="32"/>
          <w:szCs w:val="32"/>
        </w:rPr>
        <w:t>,</w:t>
      </w:r>
      <w:r>
        <w:rPr>
          <w:rFonts w:hint="eastAsia" w:ascii="Times New Roman" w:hAnsi="Times New Roman" w:eastAsia="仿宋" w:cs="仿宋"/>
          <w:sz w:val="32"/>
          <w:szCs w:val="32"/>
        </w:rPr>
        <w:t>营造妇女儿童工作的良好氛围</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年“三八”举办“唐尧圣地李氏故里爱我隆尧”巾帼演讲大赛。</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、“六一”举办形式多样的庆祝及救助活动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w:t>
      </w:r>
      <w:r>
        <w:rPr>
          <w:rFonts w:hint="eastAsia" w:ascii="Times New Roman" w:hAnsi="Times New Roman" w:eastAsia="仿宋" w:cs="仿宋"/>
          <w:sz w:val="32"/>
          <w:szCs w:val="32"/>
        </w:rPr>
        <w:t>四</w:t>
      </w:r>
      <w:r>
        <w:rPr>
          <w:rFonts w:ascii="Times New Roman" w:hAnsi="Times New Roman" w:eastAsia="仿宋" w:cs="Times New Roman"/>
          <w:sz w:val="32"/>
          <w:szCs w:val="32"/>
        </w:rPr>
        <w:t>)</w:t>
      </w:r>
      <w:r>
        <w:rPr>
          <w:rFonts w:hint="eastAsia" w:ascii="Times New Roman" w:hAnsi="Times New Roman" w:eastAsia="仿宋" w:cs="仿宋"/>
          <w:sz w:val="32"/>
          <w:szCs w:val="32"/>
        </w:rPr>
        <w:t>、完善妇女之家阵地建设</w:t>
      </w:r>
      <w:r>
        <w:rPr>
          <w:rFonts w:ascii="Times New Roman" w:hAnsi="Times New Roman" w:eastAsia="仿宋" w:cs="Times New Roman"/>
          <w:sz w:val="32"/>
          <w:szCs w:val="32"/>
        </w:rPr>
        <w:t>,</w:t>
      </w:r>
      <w:r>
        <w:rPr>
          <w:rFonts w:hint="eastAsia" w:ascii="Times New Roman" w:hAnsi="Times New Roman" w:eastAsia="仿宋" w:cs="仿宋"/>
          <w:sz w:val="32"/>
          <w:szCs w:val="32"/>
        </w:rPr>
        <w:t>在创建文明城和新农村建设中发挥妇女半边天的作用。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w:t>
      </w:r>
      <w:r>
        <w:rPr>
          <w:rFonts w:hint="eastAsia" w:ascii="Times New Roman" w:hAnsi="Times New Roman" w:eastAsia="仿宋" w:cs="仿宋"/>
          <w:sz w:val="32"/>
          <w:szCs w:val="32"/>
        </w:rPr>
        <w:t>五</w:t>
      </w:r>
      <w:r>
        <w:rPr>
          <w:rFonts w:ascii="Times New Roman" w:hAnsi="Times New Roman" w:eastAsia="仿宋" w:cs="Times New Roman"/>
          <w:sz w:val="32"/>
          <w:szCs w:val="32"/>
        </w:rPr>
        <w:t>)</w:t>
      </w:r>
      <w:r>
        <w:rPr>
          <w:rFonts w:hint="eastAsia" w:ascii="Times New Roman" w:hAnsi="Times New Roman" w:eastAsia="仿宋" w:cs="仿宋"/>
          <w:sz w:val="32"/>
          <w:szCs w:val="32"/>
        </w:rPr>
        <w:t>、做好巾帼志愿者服务活动</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职责分类绩效目标：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（一）引导全县妇女听党话、跟党走</w:t>
      </w:r>
      <w:r>
        <w:rPr>
          <w:rFonts w:ascii="Times New Roman" w:hAnsi="Times New Roman" w:eastAsia="仿宋" w:cs="Times New Roman"/>
          <w:sz w:val="32"/>
          <w:szCs w:val="32"/>
        </w:rPr>
        <w:t>,</w:t>
      </w:r>
      <w:r>
        <w:rPr>
          <w:rFonts w:hint="eastAsia" w:ascii="Times New Roman" w:hAnsi="Times New Roman" w:eastAsia="仿宋" w:cs="仿宋"/>
          <w:sz w:val="32"/>
          <w:szCs w:val="32"/>
        </w:rPr>
        <w:t>发扬“四自”精神</w:t>
      </w:r>
      <w:r>
        <w:rPr>
          <w:rFonts w:ascii="Times New Roman" w:hAnsi="Times New Roman" w:eastAsia="仿宋" w:cs="Times New Roman"/>
          <w:sz w:val="32"/>
          <w:szCs w:val="32"/>
        </w:rPr>
        <w:t>,</w:t>
      </w:r>
      <w:r>
        <w:rPr>
          <w:rFonts w:hint="eastAsia" w:ascii="Times New Roman" w:hAnsi="Times New Roman" w:eastAsia="仿宋" w:cs="仿宋"/>
          <w:sz w:val="32"/>
          <w:szCs w:val="32"/>
        </w:rPr>
        <w:t>积极投身改革开放和社会主义经济、政治、文化、社会和生态文明建设</w:t>
      </w:r>
      <w:r>
        <w:rPr>
          <w:rFonts w:ascii="Times New Roman" w:hAnsi="Times New Roman" w:eastAsia="仿宋" w:cs="Times New Roman"/>
          <w:sz w:val="32"/>
          <w:szCs w:val="32"/>
        </w:rPr>
        <w:t>,</w:t>
      </w:r>
      <w:r>
        <w:rPr>
          <w:rFonts w:hint="eastAsia" w:ascii="Times New Roman" w:hAnsi="Times New Roman" w:eastAsia="仿宋" w:cs="仿宋"/>
          <w:sz w:val="32"/>
          <w:szCs w:val="32"/>
        </w:rPr>
        <w:t>全面提高妇女素质</w:t>
      </w:r>
      <w:r>
        <w:rPr>
          <w:rFonts w:ascii="Times New Roman" w:hAnsi="Times New Roman" w:eastAsia="仿宋" w:cs="Times New Roman"/>
          <w:sz w:val="32"/>
          <w:szCs w:val="32"/>
        </w:rPr>
        <w:t>,</w:t>
      </w:r>
      <w:r>
        <w:rPr>
          <w:rFonts w:hint="eastAsia" w:ascii="Times New Roman" w:hAnsi="Times New Roman" w:eastAsia="仿宋" w:cs="仿宋"/>
          <w:sz w:val="32"/>
          <w:szCs w:val="32"/>
        </w:rPr>
        <w:t>促进妇女人才成长。</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（二）关注涉及妇女切身利益的热点、难点问题</w:t>
      </w:r>
      <w:r>
        <w:rPr>
          <w:rFonts w:ascii="Times New Roman" w:hAnsi="Times New Roman" w:eastAsia="仿宋" w:cs="Times New Roman"/>
          <w:sz w:val="32"/>
          <w:szCs w:val="32"/>
        </w:rPr>
        <w:t>,</w:t>
      </w:r>
      <w:r>
        <w:rPr>
          <w:rFonts w:hint="eastAsia" w:ascii="Times New Roman" w:hAnsi="Times New Roman" w:eastAsia="仿宋" w:cs="仿宋"/>
          <w:sz w:val="32"/>
          <w:szCs w:val="32"/>
        </w:rPr>
        <w:t>及时向县委县政府提出对策建议</w:t>
      </w:r>
      <w:r>
        <w:rPr>
          <w:rFonts w:ascii="Times New Roman" w:hAnsi="Times New Roman" w:eastAsia="仿宋" w:cs="Times New Roman"/>
          <w:sz w:val="32"/>
          <w:szCs w:val="32"/>
        </w:rPr>
        <w:t>;</w:t>
      </w:r>
      <w:r>
        <w:rPr>
          <w:rFonts w:hint="eastAsia" w:ascii="Times New Roman" w:hAnsi="Times New Roman" w:eastAsia="仿宋" w:cs="仿宋"/>
          <w:sz w:val="32"/>
          <w:szCs w:val="32"/>
        </w:rPr>
        <w:t>强化维权工作</w:t>
      </w:r>
      <w:r>
        <w:rPr>
          <w:rFonts w:ascii="Times New Roman" w:hAnsi="Times New Roman" w:eastAsia="仿宋" w:cs="Times New Roman"/>
          <w:sz w:val="32"/>
          <w:szCs w:val="32"/>
        </w:rPr>
        <w:t>,</w:t>
      </w:r>
      <w:r>
        <w:rPr>
          <w:rFonts w:hint="eastAsia" w:ascii="Times New Roman" w:hAnsi="Times New Roman" w:eastAsia="仿宋" w:cs="仿宋"/>
          <w:sz w:val="32"/>
          <w:szCs w:val="32"/>
        </w:rPr>
        <w:t>帮扶困境群体。积极开展对妇女的科技文化及生产劳动技能等各类教育培训。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三）加强妇联基层组织建设和机关党建</w:t>
      </w:r>
      <w:r>
        <w:rPr>
          <w:rFonts w:ascii="Times New Roman" w:hAnsi="Times New Roman" w:eastAsia="仿宋" w:cs="Times New Roman"/>
          <w:sz w:val="32"/>
          <w:szCs w:val="32"/>
        </w:rPr>
        <w:t>,</w:t>
      </w:r>
      <w:r>
        <w:rPr>
          <w:rFonts w:hint="eastAsia" w:ascii="Times New Roman" w:hAnsi="Times New Roman" w:eastAsia="仿宋" w:cs="仿宋"/>
          <w:sz w:val="32"/>
          <w:szCs w:val="32"/>
        </w:rPr>
        <w:t>做好机关基础设施建设与维护</w:t>
      </w:r>
      <w:r>
        <w:rPr>
          <w:rFonts w:ascii="Times New Roman" w:hAnsi="Times New Roman" w:eastAsia="仿宋" w:cs="Times New Roman"/>
          <w:sz w:val="32"/>
          <w:szCs w:val="32"/>
        </w:rPr>
        <w:t>,</w:t>
      </w:r>
      <w:r>
        <w:rPr>
          <w:rFonts w:hint="eastAsia" w:ascii="Times New Roman" w:hAnsi="Times New Roman" w:eastAsia="仿宋" w:cs="仿宋"/>
          <w:sz w:val="32"/>
          <w:szCs w:val="32"/>
        </w:rPr>
        <w:t>推进机关信息化建设</w:t>
      </w:r>
      <w:r>
        <w:rPr>
          <w:rFonts w:ascii="Times New Roman" w:hAnsi="Times New Roman" w:eastAsia="仿宋" w:cs="Times New Roman"/>
          <w:sz w:val="32"/>
          <w:szCs w:val="32"/>
        </w:rPr>
        <w:t>,</w:t>
      </w:r>
      <w:r>
        <w:rPr>
          <w:rFonts w:hint="eastAsia" w:ascii="Times New Roman" w:hAnsi="Times New Roman" w:eastAsia="仿宋" w:cs="仿宋"/>
          <w:sz w:val="32"/>
          <w:szCs w:val="32"/>
        </w:rPr>
        <w:t>做好县政府妇儿工委办公室工作</w:t>
      </w:r>
      <w:r>
        <w:rPr>
          <w:rFonts w:ascii="Times New Roman" w:hAnsi="Times New Roman" w:eastAsia="仿宋" w:cs="Times New Roman"/>
          <w:sz w:val="32"/>
          <w:szCs w:val="32"/>
        </w:rPr>
        <w:t>,</w:t>
      </w:r>
      <w:r>
        <w:rPr>
          <w:rFonts w:hint="eastAsia" w:ascii="Times New Roman" w:hAnsi="Times New Roman" w:eastAsia="仿宋" w:cs="仿宋"/>
          <w:sz w:val="32"/>
          <w:szCs w:val="32"/>
        </w:rPr>
        <w:t>为妇女儿童事业发展提供有力保障。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二、实现年度发展规划目标的保障措施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一）、</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坚持正确的政治方向</w:t>
      </w:r>
      <w:r>
        <w:rPr>
          <w:rFonts w:ascii="Times New Roman" w:hAnsi="Times New Roman" w:eastAsia="仿宋" w:cs="Times New Roman"/>
          <w:sz w:val="32"/>
          <w:szCs w:val="32"/>
        </w:rPr>
        <w:t>,</w:t>
      </w:r>
      <w:r>
        <w:rPr>
          <w:rFonts w:hint="eastAsia" w:ascii="Times New Roman" w:hAnsi="Times New Roman" w:eastAsia="仿宋" w:cs="仿宋"/>
          <w:sz w:val="32"/>
          <w:szCs w:val="32"/>
        </w:rPr>
        <w:t>团结教育各界妇女以及各类妇女组织在思想上政治上、行动上同党中央保持高度一致。</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（二）教育、引导妇女树立正确的世界观、人生观、价值观</w:t>
      </w:r>
      <w:r>
        <w:rPr>
          <w:rFonts w:ascii="Times New Roman" w:hAnsi="Times New Roman" w:eastAsia="仿宋" w:cs="Times New Roman"/>
          <w:sz w:val="32"/>
          <w:szCs w:val="32"/>
        </w:rPr>
        <w:t>,</w:t>
      </w:r>
      <w:r>
        <w:rPr>
          <w:rFonts w:hint="eastAsia" w:ascii="Times New Roman" w:hAnsi="Times New Roman" w:eastAsia="仿宋" w:cs="仿宋"/>
          <w:sz w:val="32"/>
          <w:szCs w:val="32"/>
        </w:rPr>
        <w:t>弘扬“四自’’精神</w:t>
      </w:r>
      <w:r>
        <w:rPr>
          <w:rFonts w:ascii="Times New Roman" w:hAnsi="Times New Roman" w:eastAsia="仿宋" w:cs="Times New Roman"/>
          <w:sz w:val="32"/>
          <w:szCs w:val="32"/>
        </w:rPr>
        <w:t>,</w:t>
      </w:r>
      <w:r>
        <w:rPr>
          <w:rFonts w:hint="eastAsia" w:ascii="Times New Roman" w:hAnsi="Times New Roman" w:eastAsia="仿宋" w:cs="仿宋"/>
          <w:sz w:val="32"/>
          <w:szCs w:val="32"/>
        </w:rPr>
        <w:t>积极推动和开展对妇女科技文化及劳动技能培训</w:t>
      </w:r>
      <w:r>
        <w:rPr>
          <w:rFonts w:ascii="Times New Roman" w:hAnsi="Times New Roman" w:eastAsia="仿宋" w:cs="Times New Roman"/>
          <w:sz w:val="32"/>
          <w:szCs w:val="32"/>
        </w:rPr>
        <w:t>,</w:t>
      </w:r>
      <w:r>
        <w:rPr>
          <w:rFonts w:hint="eastAsia" w:ascii="Times New Roman" w:hAnsi="Times New Roman" w:eastAsia="仿宋" w:cs="仿宋"/>
          <w:sz w:val="32"/>
          <w:szCs w:val="32"/>
        </w:rPr>
        <w:t>全面提高妇女素质。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（三）代表妇女参与国家和社会事务的民主监督</w:t>
      </w:r>
      <w:r>
        <w:rPr>
          <w:rFonts w:ascii="Times New Roman" w:hAnsi="Times New Roman" w:eastAsia="仿宋" w:cs="Times New Roman"/>
          <w:sz w:val="32"/>
          <w:szCs w:val="32"/>
        </w:rPr>
        <w:t>,</w:t>
      </w:r>
      <w:r>
        <w:rPr>
          <w:rFonts w:hint="eastAsia" w:ascii="Times New Roman" w:hAnsi="Times New Roman" w:eastAsia="仿宋" w:cs="仿宋"/>
          <w:sz w:val="32"/>
          <w:szCs w:val="32"/>
        </w:rPr>
        <w:t>加强对涉及妇女切身利益的热点、难点问题的调查研究</w:t>
      </w:r>
      <w:r>
        <w:rPr>
          <w:rFonts w:ascii="Times New Roman" w:hAnsi="Times New Roman" w:eastAsia="仿宋" w:cs="Times New Roman"/>
          <w:sz w:val="32"/>
          <w:szCs w:val="32"/>
        </w:rPr>
        <w:t>,</w:t>
      </w:r>
      <w:r>
        <w:rPr>
          <w:rFonts w:hint="eastAsia" w:ascii="Times New Roman" w:hAnsi="Times New Roman" w:eastAsia="仿宋" w:cs="仿宋"/>
          <w:sz w:val="32"/>
          <w:szCs w:val="32"/>
        </w:rPr>
        <w:t>及时向上级反映妇女群众的呼声</w:t>
      </w:r>
      <w:r>
        <w:rPr>
          <w:rFonts w:ascii="Times New Roman" w:hAnsi="Times New Roman" w:eastAsia="仿宋" w:cs="Times New Roman"/>
          <w:sz w:val="32"/>
          <w:szCs w:val="32"/>
        </w:rPr>
        <w:t>,</w:t>
      </w:r>
      <w:r>
        <w:rPr>
          <w:rFonts w:hint="eastAsia" w:ascii="Times New Roman" w:hAnsi="Times New Roman" w:eastAsia="仿宋" w:cs="仿宋"/>
          <w:sz w:val="32"/>
          <w:szCs w:val="32"/>
        </w:rPr>
        <w:t>提出对策建议</w:t>
      </w:r>
      <w:r>
        <w:rPr>
          <w:rFonts w:ascii="Times New Roman" w:hAnsi="Times New Roman" w:eastAsia="仿宋" w:cs="Times New Roman"/>
          <w:sz w:val="32"/>
          <w:szCs w:val="32"/>
        </w:rPr>
        <w:t>;</w:t>
      </w:r>
      <w:r>
        <w:rPr>
          <w:rFonts w:hint="eastAsia" w:ascii="Times New Roman" w:hAnsi="Times New Roman" w:eastAsia="仿宋" w:cs="仿宋"/>
          <w:sz w:val="32"/>
          <w:szCs w:val="32"/>
        </w:rPr>
        <w:t>参与有关妇女儿童政策和法律、法规草案的拟定</w:t>
      </w:r>
      <w:r>
        <w:rPr>
          <w:rFonts w:ascii="Times New Roman" w:hAnsi="Times New Roman" w:eastAsia="仿宋" w:cs="Times New Roman"/>
          <w:sz w:val="32"/>
          <w:szCs w:val="32"/>
        </w:rPr>
        <w:t>,</w:t>
      </w:r>
      <w:r>
        <w:rPr>
          <w:rFonts w:hint="eastAsia" w:ascii="Times New Roman" w:hAnsi="Times New Roman" w:eastAsia="仿宋" w:cs="仿宋"/>
          <w:sz w:val="32"/>
          <w:szCs w:val="32"/>
        </w:rPr>
        <w:t>从源头上强化维护妇女儿童合法权益工作。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（四）坚持为妇女儿童服务</w:t>
      </w:r>
      <w:r>
        <w:rPr>
          <w:rFonts w:ascii="Times New Roman" w:hAnsi="Times New Roman" w:eastAsia="仿宋" w:cs="Times New Roman"/>
          <w:sz w:val="32"/>
          <w:szCs w:val="32"/>
        </w:rPr>
        <w:t>,</w:t>
      </w:r>
      <w:r>
        <w:rPr>
          <w:rFonts w:hint="eastAsia" w:ascii="Times New Roman" w:hAnsi="Times New Roman" w:eastAsia="仿宋" w:cs="仿宋"/>
          <w:sz w:val="32"/>
          <w:szCs w:val="32"/>
        </w:rPr>
        <w:t>加强与社会各界的联系</w:t>
      </w:r>
      <w:r>
        <w:rPr>
          <w:rFonts w:ascii="Times New Roman" w:hAnsi="Times New Roman" w:eastAsia="仿宋" w:cs="Times New Roman"/>
          <w:sz w:val="32"/>
          <w:szCs w:val="32"/>
        </w:rPr>
        <w:t>,</w:t>
      </w:r>
      <w:r>
        <w:rPr>
          <w:rFonts w:hint="eastAsia" w:ascii="Times New Roman" w:hAnsi="Times New Roman" w:eastAsia="仿宋" w:cs="仿宋"/>
          <w:sz w:val="32"/>
          <w:szCs w:val="32"/>
        </w:rPr>
        <w:t>协调推动全社会为妇女儿童办实事、办好事。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（五）指导乡镇妇联、县直妇委会依据《中华全国妇女联合会章程》和妇女代表大会提出的任务</w:t>
      </w:r>
      <w:r>
        <w:rPr>
          <w:rFonts w:ascii="Times New Roman" w:hAnsi="Times New Roman" w:eastAsia="仿宋" w:cs="Times New Roman"/>
          <w:sz w:val="32"/>
          <w:szCs w:val="32"/>
        </w:rPr>
        <w:t>,</w:t>
      </w:r>
      <w:r>
        <w:rPr>
          <w:rFonts w:hint="eastAsia" w:ascii="Times New Roman" w:hAnsi="Times New Roman" w:eastAsia="仿宋" w:cs="仿宋"/>
          <w:sz w:val="32"/>
          <w:szCs w:val="32"/>
        </w:rPr>
        <w:t>开展妇女儿童工作。</w:t>
      </w: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p>
    <w:p>
      <w:pPr>
        <w:autoSpaceDE w:val="0"/>
        <w:autoSpaceDN w:val="0"/>
        <w:adjustRightInd w:val="0"/>
        <w:ind w:left="198" w:firstLine="643" w:firstLineChars="200"/>
        <w:jc w:val="left"/>
        <w:rPr>
          <w:rFonts w:ascii="Times New Roman" w:hAnsi="Times New Roman" w:eastAsia="仿宋" w:cs="仿宋"/>
          <w:b/>
          <w:bCs/>
          <w:sz w:val="32"/>
          <w:szCs w:val="32"/>
        </w:rPr>
      </w:pPr>
      <w:r>
        <w:rPr>
          <w:rFonts w:hint="eastAsia" w:ascii="Times New Roman" w:hAnsi="Times New Roman" w:eastAsia="仿宋" w:cs="仿宋"/>
          <w:b/>
          <w:bCs/>
          <w:sz w:val="32"/>
          <w:szCs w:val="32"/>
        </w:rPr>
        <w:t>部门职责及工作活动绩效目标指标</w:t>
      </w:r>
      <w:bookmarkEnd w:id="0"/>
      <w:r>
        <w:rPr>
          <w:rFonts w:hint="eastAsia" w:ascii="Times New Roman" w:hAnsi="Times New Roman" w:eastAsia="仿宋" w:cs="仿宋"/>
          <w:b/>
          <w:bCs/>
          <w:sz w:val="32"/>
          <w:szCs w:val="32"/>
        </w:rPr>
        <w:t>：</w:t>
      </w:r>
    </w:p>
    <w:p>
      <w:pPr>
        <w:numPr>
          <w:ilvl w:val="0"/>
          <w:numId w:val="1"/>
        </w:numPr>
        <w:autoSpaceDE w:val="0"/>
        <w:autoSpaceDN w:val="0"/>
        <w:adjustRightInd w:val="0"/>
        <w:jc w:val="center"/>
        <w:rPr>
          <w:rFonts w:hint="eastAsia" w:ascii="Times New Roman" w:hAnsi="Times New Roman" w:eastAsia="仿宋" w:cs="仿宋"/>
          <w:b/>
          <w:bCs/>
          <w:sz w:val="32"/>
          <w:szCs w:val="32"/>
        </w:rPr>
      </w:pPr>
      <w:r>
        <w:rPr>
          <w:rFonts w:hint="eastAsia" w:ascii="Times New Roman" w:hAnsi="Times New Roman" w:eastAsia="仿宋" w:cs="仿宋"/>
          <w:b/>
          <w:bCs/>
          <w:sz w:val="32"/>
          <w:szCs w:val="32"/>
        </w:rPr>
        <w:t>妇联经费绩效目标表</w:t>
      </w:r>
    </w:p>
    <w:p>
      <w:pPr>
        <w:outlineLvl w:val="0"/>
        <w:rPr>
          <w:rFonts w:hint="eastAsia" w:ascii="方正小标宋_GBK" w:hAnsi="Symbol" w:eastAsia="方正小标宋_GBK" w:cs="Times New Roman"/>
          <w:color w:val="FFFFFF"/>
          <w:sz w:val="32"/>
          <w:szCs w:val="32"/>
        </w:rPr>
      </w:pPr>
      <w:bookmarkStart w:id="1" w:name="_Toc1996009"/>
      <w:r>
        <w:rPr>
          <w:rFonts w:hint="eastAsia" w:cs="方正小标宋_GBK"/>
        </w:rPr>
        <w:t xml:space="preserve">713002隆尧县妇联 </w:t>
      </w:r>
      <w:r>
        <w:rPr>
          <w:rFonts w:cs="方正小标宋_GBK"/>
        </w:rPr>
        <w:t xml:space="preserve">                                                                                   </w:t>
      </w:r>
      <w:r>
        <w:rPr>
          <w:rFonts w:hint="eastAsia" w:cs="方正小标宋_GBK"/>
        </w:rPr>
        <w:t>单位：万元</w:t>
      </w:r>
      <w:r>
        <w:rPr>
          <w:rStyle w:val="11"/>
          <w:rFonts w:hint="eastAsia" w:ascii="方正小标宋_GBK" w:hAnsi="Symbol" w:eastAsia="方正小标宋_GBK" w:cs="Times New Roman"/>
          <w:color w:val="FFFFFF"/>
          <w:sz w:val="32"/>
          <w:szCs w:val="32"/>
        </w:rPr>
        <w:footnoteReference w:id="0" w:customMarkFollows="1"/>
      </w:r>
      <w:r>
        <w:rPr>
          <w:rStyle w:val="11"/>
          <w:rFonts w:hint="eastAsia" w:ascii="方正小标宋_GBK" w:hAnsi="Symbol" w:eastAsia="方正小标宋_GBK" w:cs="Times New Roman"/>
          <w:color w:val="FFFFFF"/>
          <w:sz w:val="32"/>
          <w:szCs w:val="32"/>
        </w:rPr>
        <w:sym w:font="Symbol" w:char="F020"/>
      </w:r>
      <w:bookmarkEnd w:id="1"/>
    </w:p>
    <w:tbl>
      <w:tblPr>
        <w:tblStyle w:val="13"/>
        <w:tblW w:w="14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850"/>
        <w:gridCol w:w="1701"/>
        <w:gridCol w:w="1418"/>
        <w:gridCol w:w="1134"/>
        <w:gridCol w:w="992"/>
        <w:gridCol w:w="2693"/>
        <w:gridCol w:w="399"/>
        <w:gridCol w:w="1515"/>
        <w:gridCol w:w="1963"/>
      </w:tblGrid>
      <w:tr>
        <w:tblPrEx>
          <w:tblLayout w:type="fixed"/>
          <w:tblCellMar>
            <w:top w:w="0" w:type="dxa"/>
            <w:left w:w="108" w:type="dxa"/>
            <w:bottom w:w="0" w:type="dxa"/>
            <w:right w:w="108" w:type="dxa"/>
          </w:tblCellMar>
        </w:tblPrEx>
        <w:trPr>
          <w:trHeight w:val="385" w:hRule="atLeast"/>
        </w:trPr>
        <w:tc>
          <w:tcPr>
            <w:tcW w:w="2518" w:type="dxa"/>
            <w:gridSpan w:val="2"/>
            <w:vAlign w:val="center"/>
          </w:tcPr>
          <w:p>
            <w:pPr>
              <w:jc w:val="center"/>
              <w:outlineLvl w:val="0"/>
              <w:rPr>
                <w:rFonts w:hint="eastAsia" w:ascii="方正小标宋_GBK" w:eastAsia="方正小标宋_GBK" w:cs="Times New Roman"/>
                <w:sz w:val="24"/>
                <w:szCs w:val="24"/>
              </w:rPr>
            </w:pPr>
            <w:r>
              <w:rPr>
                <w:rFonts w:hint="eastAsia" w:ascii="微软雅黑" w:hAnsi="微软雅黑" w:eastAsia="微软雅黑" w:cs="微软雅黑"/>
                <w:sz w:val="24"/>
                <w:szCs w:val="24"/>
              </w:rPr>
              <w:t>项目编码</w:t>
            </w:r>
          </w:p>
        </w:tc>
        <w:tc>
          <w:tcPr>
            <w:tcW w:w="4253" w:type="dxa"/>
            <w:gridSpan w:val="3"/>
            <w:vAlign w:val="center"/>
          </w:tcPr>
          <w:p>
            <w:pPr>
              <w:jc w:val="center"/>
              <w:outlineLvl w:val="0"/>
              <w:rPr>
                <w:rFonts w:hint="eastAsia" w:ascii="方正小标宋_GBK" w:eastAsia="方正小标宋_GBK" w:cs="Times New Roman"/>
                <w:sz w:val="24"/>
                <w:szCs w:val="24"/>
              </w:rPr>
            </w:pPr>
            <w:r>
              <w:rPr>
                <w:rFonts w:hint="eastAsia" w:ascii="方正小标宋_GBK" w:eastAsia="方正小标宋_GBK" w:cs="Times New Roman"/>
                <w:sz w:val="24"/>
                <w:szCs w:val="24"/>
              </w:rPr>
              <w:t>713-0401-</w:t>
            </w:r>
            <w:r>
              <w:rPr>
                <w:rFonts w:ascii="方正小标宋_GBK" w:eastAsia="方正小标宋_GBK" w:cs="Times New Roman"/>
                <w:sz w:val="24"/>
                <w:szCs w:val="24"/>
              </w:rPr>
              <w:t>JXN-7G8L</w:t>
            </w:r>
          </w:p>
        </w:tc>
        <w:tc>
          <w:tcPr>
            <w:tcW w:w="3685" w:type="dxa"/>
            <w:gridSpan w:val="2"/>
            <w:vAlign w:val="center"/>
          </w:tcPr>
          <w:p>
            <w:pPr>
              <w:jc w:val="center"/>
              <w:outlineLvl w:val="0"/>
              <w:rPr>
                <w:rFonts w:ascii="方正小标宋_GBK" w:eastAsia="方正小标宋_GBK" w:cs="Times New Roman"/>
                <w:sz w:val="24"/>
                <w:szCs w:val="24"/>
              </w:rPr>
            </w:pPr>
            <w:r>
              <w:rPr>
                <w:rFonts w:hint="eastAsia" w:ascii="微软雅黑" w:hAnsi="微软雅黑" w:eastAsia="微软雅黑" w:cs="微软雅黑"/>
                <w:sz w:val="24"/>
                <w:szCs w:val="24"/>
              </w:rPr>
              <w:t>项目名称</w:t>
            </w:r>
          </w:p>
        </w:tc>
        <w:tc>
          <w:tcPr>
            <w:tcW w:w="3877" w:type="dxa"/>
            <w:gridSpan w:val="3"/>
            <w:vAlign w:val="center"/>
          </w:tcPr>
          <w:p>
            <w:pPr>
              <w:jc w:val="center"/>
              <w:outlineLvl w:val="0"/>
              <w:rPr>
                <w:rFonts w:ascii="方正小标宋_GBK" w:eastAsia="方正小标宋_GBK" w:cs="Times New Roman"/>
                <w:sz w:val="24"/>
                <w:szCs w:val="24"/>
              </w:rPr>
            </w:pPr>
            <w:r>
              <w:rPr>
                <w:rFonts w:hint="eastAsia" w:ascii="微软雅黑" w:hAnsi="微软雅黑" w:eastAsia="微软雅黑" w:cs="微软雅黑"/>
                <w:sz w:val="24"/>
                <w:szCs w:val="24"/>
              </w:rPr>
              <w:t>妇联经费</w:t>
            </w:r>
          </w:p>
        </w:tc>
      </w:tr>
      <w:tr>
        <w:tblPrEx>
          <w:tblLayout w:type="fixed"/>
          <w:tblCellMar>
            <w:top w:w="0" w:type="dxa"/>
            <w:left w:w="108" w:type="dxa"/>
            <w:bottom w:w="0" w:type="dxa"/>
            <w:right w:w="108" w:type="dxa"/>
          </w:tblCellMar>
        </w:tblPrEx>
        <w:trPr>
          <w:trHeight w:val="324" w:hRule="atLeast"/>
        </w:trPr>
        <w:tc>
          <w:tcPr>
            <w:tcW w:w="2518" w:type="dxa"/>
            <w:gridSpan w:val="2"/>
            <w:vMerge w:val="restart"/>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预算规模及资金用途</w:t>
            </w:r>
          </w:p>
        </w:tc>
        <w:tc>
          <w:tcPr>
            <w:tcW w:w="1701"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预算数</w:t>
            </w:r>
          </w:p>
        </w:tc>
        <w:tc>
          <w:tcPr>
            <w:tcW w:w="1418" w:type="dxa"/>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8.50</w:t>
            </w:r>
          </w:p>
        </w:tc>
        <w:tc>
          <w:tcPr>
            <w:tcW w:w="2126"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其中：财政资金</w:t>
            </w:r>
          </w:p>
        </w:tc>
        <w:tc>
          <w:tcPr>
            <w:tcW w:w="3092"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8.50</w:t>
            </w:r>
          </w:p>
        </w:tc>
        <w:tc>
          <w:tcPr>
            <w:tcW w:w="1515"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其他资金</w:t>
            </w:r>
          </w:p>
        </w:tc>
        <w:tc>
          <w:tcPr>
            <w:tcW w:w="1963" w:type="dxa"/>
            <w:vAlign w:val="center"/>
          </w:tcPr>
          <w:p>
            <w:pPr>
              <w:jc w:val="left"/>
              <w:outlineLvl w:val="0"/>
              <w:rPr>
                <w:rFonts w:ascii="方正小标宋_GBK" w:eastAsia="方正小标宋_GBK" w:cs="Times New Roman"/>
                <w:sz w:val="24"/>
                <w:szCs w:val="24"/>
              </w:rPr>
            </w:pPr>
          </w:p>
        </w:tc>
      </w:tr>
      <w:tr>
        <w:tblPrEx>
          <w:tblLayout w:type="fixed"/>
          <w:tblCellMar>
            <w:top w:w="0" w:type="dxa"/>
            <w:left w:w="108" w:type="dxa"/>
            <w:bottom w:w="0" w:type="dxa"/>
            <w:right w:w="108" w:type="dxa"/>
          </w:tblCellMar>
        </w:tblPrEx>
        <w:trPr>
          <w:trHeight w:val="106" w:hRule="atLeast"/>
        </w:trPr>
        <w:tc>
          <w:tcPr>
            <w:tcW w:w="2518" w:type="dxa"/>
            <w:gridSpan w:val="2"/>
            <w:vMerge w:val="continue"/>
            <w:vAlign w:val="center"/>
          </w:tcPr>
          <w:p>
            <w:pPr>
              <w:jc w:val="left"/>
              <w:outlineLvl w:val="0"/>
              <w:rPr>
                <w:rFonts w:ascii="方正小标宋_GBK" w:eastAsia="方正小标宋_GBK" w:cs="Times New Roman"/>
                <w:sz w:val="24"/>
                <w:szCs w:val="24"/>
              </w:rPr>
            </w:pPr>
          </w:p>
        </w:tc>
        <w:tc>
          <w:tcPr>
            <w:tcW w:w="11815" w:type="dxa"/>
            <w:gridSpan w:val="8"/>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经费保障本年度妇联日常办公经费所需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7" w:hRule="atLeast"/>
        </w:trPr>
        <w:tc>
          <w:tcPr>
            <w:tcW w:w="2518" w:type="dxa"/>
            <w:gridSpan w:val="2"/>
            <w:vMerge w:val="restart"/>
            <w:vAlign w:val="center"/>
          </w:tcPr>
          <w:p>
            <w:pPr>
              <w:jc w:val="left"/>
              <w:outlineLvl w:val="0"/>
              <w:rPr>
                <w:rFonts w:hint="eastAsia" w:ascii="方正小标宋_GBK" w:eastAsia="方正小标宋_GBK" w:cs="Times New Roman"/>
                <w:sz w:val="24"/>
                <w:szCs w:val="24"/>
              </w:rPr>
            </w:pPr>
            <w:r>
              <w:rPr>
                <w:rFonts w:hint="eastAsia" w:ascii="微软雅黑" w:hAnsi="微软雅黑" w:eastAsia="微软雅黑" w:cs="微软雅黑"/>
                <w:sz w:val="24"/>
                <w:szCs w:val="24"/>
              </w:rPr>
              <w:t>资金支出计划（%）</w:t>
            </w:r>
          </w:p>
        </w:tc>
        <w:tc>
          <w:tcPr>
            <w:tcW w:w="3119"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3</w:t>
            </w:r>
            <w:r>
              <w:rPr>
                <w:rFonts w:hint="eastAsia" w:ascii="微软雅黑" w:hAnsi="微软雅黑" w:eastAsia="微软雅黑" w:cs="微软雅黑"/>
                <w:sz w:val="24"/>
                <w:szCs w:val="24"/>
              </w:rPr>
              <w:t>月底</w:t>
            </w:r>
          </w:p>
        </w:tc>
        <w:tc>
          <w:tcPr>
            <w:tcW w:w="2126"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6</w:t>
            </w:r>
            <w:r>
              <w:rPr>
                <w:rFonts w:hint="eastAsia" w:ascii="微软雅黑" w:hAnsi="微软雅黑" w:eastAsia="微软雅黑" w:cs="微软雅黑"/>
                <w:sz w:val="24"/>
                <w:szCs w:val="24"/>
              </w:rPr>
              <w:t>月底</w:t>
            </w:r>
          </w:p>
        </w:tc>
        <w:tc>
          <w:tcPr>
            <w:tcW w:w="3092"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10</w:t>
            </w:r>
            <w:r>
              <w:rPr>
                <w:rFonts w:hint="eastAsia" w:ascii="微软雅黑" w:hAnsi="微软雅黑" w:eastAsia="微软雅黑" w:cs="微软雅黑"/>
                <w:sz w:val="24"/>
                <w:szCs w:val="24"/>
              </w:rPr>
              <w:t>月底</w:t>
            </w:r>
          </w:p>
        </w:tc>
        <w:tc>
          <w:tcPr>
            <w:tcW w:w="3478"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12</w:t>
            </w:r>
            <w:r>
              <w:rPr>
                <w:rFonts w:hint="eastAsia" w:ascii="微软雅黑" w:hAnsi="微软雅黑" w:eastAsia="微软雅黑" w:cs="微软雅黑"/>
                <w:sz w:val="24"/>
                <w:szCs w:val="24"/>
              </w:rPr>
              <w:t>月底</w:t>
            </w:r>
          </w:p>
        </w:tc>
      </w:tr>
      <w:tr>
        <w:tblPrEx>
          <w:tblLayout w:type="fixed"/>
          <w:tblCellMar>
            <w:top w:w="0" w:type="dxa"/>
            <w:left w:w="108" w:type="dxa"/>
            <w:bottom w:w="0" w:type="dxa"/>
            <w:right w:w="108" w:type="dxa"/>
          </w:tblCellMar>
        </w:tblPrEx>
        <w:tc>
          <w:tcPr>
            <w:tcW w:w="2518" w:type="dxa"/>
            <w:gridSpan w:val="2"/>
            <w:vMerge w:val="continue"/>
            <w:vAlign w:val="center"/>
          </w:tcPr>
          <w:p>
            <w:pPr>
              <w:jc w:val="left"/>
              <w:outlineLvl w:val="0"/>
              <w:rPr>
                <w:rFonts w:ascii="方正小标宋_GBK" w:eastAsia="方正小标宋_GBK" w:cs="Times New Roman"/>
                <w:sz w:val="24"/>
                <w:szCs w:val="24"/>
              </w:rPr>
            </w:pPr>
          </w:p>
        </w:tc>
        <w:tc>
          <w:tcPr>
            <w:tcW w:w="3119"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25.00</w:t>
            </w:r>
          </w:p>
        </w:tc>
        <w:tc>
          <w:tcPr>
            <w:tcW w:w="2126"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50.00</w:t>
            </w:r>
          </w:p>
        </w:tc>
        <w:tc>
          <w:tcPr>
            <w:tcW w:w="3092"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75.00</w:t>
            </w:r>
          </w:p>
        </w:tc>
        <w:tc>
          <w:tcPr>
            <w:tcW w:w="3478" w:type="dxa"/>
            <w:gridSpan w:val="2"/>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100.00</w:t>
            </w:r>
          </w:p>
        </w:tc>
      </w:tr>
      <w:tr>
        <w:tblPrEx>
          <w:tblLayout w:type="fixed"/>
          <w:tblCellMar>
            <w:top w:w="0" w:type="dxa"/>
            <w:left w:w="108" w:type="dxa"/>
            <w:bottom w:w="0" w:type="dxa"/>
            <w:right w:w="108" w:type="dxa"/>
          </w:tblCellMar>
        </w:tblPrEx>
        <w:tc>
          <w:tcPr>
            <w:tcW w:w="2518"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绩效目标</w:t>
            </w:r>
          </w:p>
        </w:tc>
        <w:tc>
          <w:tcPr>
            <w:tcW w:w="11815" w:type="dxa"/>
            <w:gridSpan w:val="8"/>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w:t>
            </w:r>
            <w:r>
              <w:rPr>
                <w:rFonts w:hint="eastAsia" w:ascii="微软雅黑" w:hAnsi="微软雅黑" w:eastAsia="微软雅黑" w:cs="微软雅黑"/>
                <w:sz w:val="24"/>
                <w:szCs w:val="24"/>
              </w:rPr>
              <w:t xml:space="preserve">妇联办公经费运转情况 </w:t>
            </w:r>
            <w:r>
              <w:rPr>
                <w:rFonts w:ascii="微软雅黑" w:hAnsi="微软雅黑" w:eastAsia="微软雅黑" w:cs="微软雅黑"/>
                <w:sz w:val="24"/>
                <w:szCs w:val="24"/>
              </w:rPr>
              <w:t xml:space="preserve">           </w:t>
            </w:r>
            <w:r>
              <w:rPr>
                <w:rFonts w:hint="eastAsia" w:ascii="微软雅黑" w:hAnsi="微软雅黑" w:eastAsia="微软雅黑" w:cs="微软雅黑"/>
                <w:sz w:val="24"/>
                <w:szCs w:val="24"/>
              </w:rPr>
              <w:t>2.办公经费保障情况</w:t>
            </w:r>
          </w:p>
        </w:tc>
      </w:tr>
      <w:tr>
        <w:tblPrEx>
          <w:tblLayout w:type="fixed"/>
          <w:tblCellMar>
            <w:top w:w="0" w:type="dxa"/>
            <w:left w:w="108" w:type="dxa"/>
            <w:bottom w:w="0" w:type="dxa"/>
            <w:right w:w="108" w:type="dxa"/>
          </w:tblCellMar>
        </w:tblPrEx>
        <w:trPr>
          <w:trHeight w:val="607" w:hRule="atLeast"/>
        </w:trPr>
        <w:tc>
          <w:tcPr>
            <w:tcW w:w="166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一级指标</w:t>
            </w:r>
          </w:p>
        </w:tc>
        <w:tc>
          <w:tcPr>
            <w:tcW w:w="2551"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二级指标</w:t>
            </w:r>
          </w:p>
        </w:tc>
        <w:tc>
          <w:tcPr>
            <w:tcW w:w="141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三级指标</w:t>
            </w:r>
          </w:p>
        </w:tc>
        <w:tc>
          <w:tcPr>
            <w:tcW w:w="5218" w:type="dxa"/>
            <w:gridSpan w:val="4"/>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绩效指标描述</w:t>
            </w:r>
          </w:p>
        </w:tc>
        <w:tc>
          <w:tcPr>
            <w:tcW w:w="1515"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指标值</w:t>
            </w:r>
          </w:p>
        </w:tc>
        <w:tc>
          <w:tcPr>
            <w:tcW w:w="1963"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指标值确定依据</w:t>
            </w:r>
          </w:p>
        </w:tc>
      </w:tr>
      <w:tr>
        <w:tblPrEx>
          <w:tblLayout w:type="fixed"/>
          <w:tblCellMar>
            <w:top w:w="0" w:type="dxa"/>
            <w:left w:w="108" w:type="dxa"/>
            <w:bottom w:w="0" w:type="dxa"/>
            <w:right w:w="108" w:type="dxa"/>
          </w:tblCellMar>
        </w:tblPrEx>
        <w:tc>
          <w:tcPr>
            <w:tcW w:w="166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产出指标</w:t>
            </w:r>
          </w:p>
        </w:tc>
        <w:tc>
          <w:tcPr>
            <w:tcW w:w="2551"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时效指标</w:t>
            </w:r>
          </w:p>
        </w:tc>
        <w:tc>
          <w:tcPr>
            <w:tcW w:w="141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完成率</w:t>
            </w:r>
          </w:p>
        </w:tc>
        <w:tc>
          <w:tcPr>
            <w:tcW w:w="5218" w:type="dxa"/>
            <w:gridSpan w:val="4"/>
            <w:vAlign w:val="center"/>
          </w:tcPr>
          <w:p>
            <w:pPr>
              <w:jc w:val="left"/>
              <w:outlineLvl w:val="0"/>
              <w:rPr>
                <w:rFonts w:hint="eastAsia" w:ascii="方正小标宋_GBK" w:eastAsia="方正小标宋_GBK" w:cs="Times New Roman"/>
                <w:sz w:val="24"/>
                <w:szCs w:val="24"/>
              </w:rPr>
            </w:pPr>
            <w:r>
              <w:rPr>
                <w:rFonts w:hint="eastAsia" w:ascii="微软雅黑" w:hAnsi="微软雅黑" w:eastAsia="微软雅黑" w:cs="微软雅黑"/>
                <w:sz w:val="24"/>
                <w:szCs w:val="24"/>
              </w:rPr>
              <w:t>按照要求和计划完成研究任务的项目在所有立项项目中的比例（百分比）</w:t>
            </w:r>
          </w:p>
        </w:tc>
        <w:tc>
          <w:tcPr>
            <w:tcW w:w="1515" w:type="dxa"/>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100</w:t>
            </w:r>
            <w:r>
              <w:rPr>
                <w:rFonts w:hint="eastAsia" w:ascii="微软雅黑" w:hAnsi="微软雅黑" w:eastAsia="微软雅黑" w:cs="微软雅黑"/>
                <w:sz w:val="24"/>
                <w:szCs w:val="24"/>
              </w:rPr>
              <w:t>百分比</w:t>
            </w:r>
          </w:p>
        </w:tc>
        <w:tc>
          <w:tcPr>
            <w:tcW w:w="1963"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办公所需完成率</w:t>
            </w:r>
          </w:p>
        </w:tc>
      </w:tr>
      <w:tr>
        <w:tblPrEx>
          <w:tblLayout w:type="fixed"/>
          <w:tblCellMar>
            <w:top w:w="0" w:type="dxa"/>
            <w:left w:w="108" w:type="dxa"/>
            <w:bottom w:w="0" w:type="dxa"/>
            <w:right w:w="108" w:type="dxa"/>
          </w:tblCellMar>
        </w:tblPrEx>
        <w:tc>
          <w:tcPr>
            <w:tcW w:w="1668" w:type="dxa"/>
            <w:vMerge w:val="restart"/>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效果指标</w:t>
            </w:r>
          </w:p>
        </w:tc>
        <w:tc>
          <w:tcPr>
            <w:tcW w:w="2551"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社会效益指标</w:t>
            </w:r>
          </w:p>
        </w:tc>
        <w:tc>
          <w:tcPr>
            <w:tcW w:w="141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社会影响力</w:t>
            </w:r>
          </w:p>
        </w:tc>
        <w:tc>
          <w:tcPr>
            <w:tcW w:w="5218" w:type="dxa"/>
            <w:gridSpan w:val="4"/>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在全国或全省产生的重要影响，得到广大受众的充分认可。</w:t>
            </w:r>
          </w:p>
        </w:tc>
        <w:tc>
          <w:tcPr>
            <w:tcW w:w="1515" w:type="dxa"/>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100</w:t>
            </w:r>
            <w:r>
              <w:rPr>
                <w:rFonts w:hint="eastAsia" w:ascii="微软雅黑" w:hAnsi="微软雅黑" w:eastAsia="微软雅黑" w:cs="微软雅黑"/>
                <w:sz w:val="24"/>
                <w:szCs w:val="24"/>
              </w:rPr>
              <w:t>百分比</w:t>
            </w:r>
          </w:p>
        </w:tc>
        <w:tc>
          <w:tcPr>
            <w:tcW w:w="1963"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办公用品使用率</w:t>
            </w:r>
          </w:p>
        </w:tc>
      </w:tr>
      <w:tr>
        <w:tblPrEx>
          <w:tblLayout w:type="fixed"/>
          <w:tblCellMar>
            <w:top w:w="0" w:type="dxa"/>
            <w:left w:w="108" w:type="dxa"/>
            <w:bottom w:w="0" w:type="dxa"/>
            <w:right w:w="108" w:type="dxa"/>
          </w:tblCellMar>
        </w:tblPrEx>
        <w:trPr>
          <w:trHeight w:val="723" w:hRule="atLeast"/>
        </w:trPr>
        <w:tc>
          <w:tcPr>
            <w:tcW w:w="1668" w:type="dxa"/>
            <w:vMerge w:val="continue"/>
            <w:vAlign w:val="center"/>
          </w:tcPr>
          <w:p>
            <w:pPr>
              <w:jc w:val="left"/>
              <w:outlineLvl w:val="0"/>
              <w:rPr>
                <w:rFonts w:ascii="方正小标宋_GBK" w:eastAsia="方正小标宋_GBK" w:cs="Times New Roman"/>
                <w:sz w:val="24"/>
                <w:szCs w:val="24"/>
              </w:rPr>
            </w:pPr>
          </w:p>
        </w:tc>
        <w:tc>
          <w:tcPr>
            <w:tcW w:w="2551"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可持续影响指标</w:t>
            </w:r>
          </w:p>
        </w:tc>
        <w:tc>
          <w:tcPr>
            <w:tcW w:w="141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长期使用性</w:t>
            </w:r>
          </w:p>
        </w:tc>
        <w:tc>
          <w:tcPr>
            <w:tcW w:w="5218" w:type="dxa"/>
            <w:gridSpan w:val="4"/>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能够长期较好地开展展演、展映、</w:t>
            </w:r>
            <w:r>
              <w:rPr>
                <w:rFonts w:hint="eastAsia" w:ascii="方正小标宋_GBK" w:eastAsia="方正小标宋_GBK" w:cs="Times New Roman"/>
                <w:sz w:val="24"/>
                <w:szCs w:val="24"/>
              </w:rPr>
              <w:t xml:space="preserve"> </w:t>
            </w:r>
            <w:r>
              <w:rPr>
                <w:rFonts w:hint="eastAsia" w:ascii="微软雅黑" w:hAnsi="微软雅黑" w:eastAsia="微软雅黑" w:cs="微软雅黑"/>
                <w:sz w:val="24"/>
                <w:szCs w:val="24"/>
              </w:rPr>
              <w:t>展播、展示，长期满足人民群众对精神文化的需求。</w:t>
            </w:r>
          </w:p>
        </w:tc>
        <w:tc>
          <w:tcPr>
            <w:tcW w:w="1515" w:type="dxa"/>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100</w:t>
            </w:r>
            <w:r>
              <w:rPr>
                <w:rFonts w:hint="eastAsia" w:ascii="微软雅黑" w:hAnsi="微软雅黑" w:eastAsia="微软雅黑" w:cs="微软雅黑"/>
                <w:sz w:val="24"/>
                <w:szCs w:val="24"/>
              </w:rPr>
              <w:t>百分比</w:t>
            </w:r>
          </w:p>
        </w:tc>
        <w:tc>
          <w:tcPr>
            <w:tcW w:w="1963"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办公用品使用率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6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满意度指标</w:t>
            </w:r>
          </w:p>
        </w:tc>
        <w:tc>
          <w:tcPr>
            <w:tcW w:w="2551" w:type="dxa"/>
            <w:gridSpan w:val="2"/>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服务对象满意度指标</w:t>
            </w:r>
          </w:p>
        </w:tc>
        <w:tc>
          <w:tcPr>
            <w:tcW w:w="1418"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群众满意度</w:t>
            </w:r>
          </w:p>
        </w:tc>
        <w:tc>
          <w:tcPr>
            <w:tcW w:w="5218" w:type="dxa"/>
            <w:gridSpan w:val="4"/>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群众满意数量占总数的比例。</w:t>
            </w:r>
          </w:p>
        </w:tc>
        <w:tc>
          <w:tcPr>
            <w:tcW w:w="1515" w:type="dxa"/>
            <w:vAlign w:val="center"/>
          </w:tcPr>
          <w:p>
            <w:pPr>
              <w:jc w:val="left"/>
              <w:outlineLvl w:val="0"/>
              <w:rPr>
                <w:rFonts w:ascii="方正小标宋_GBK" w:eastAsia="方正小标宋_GBK" w:cs="Times New Roman"/>
                <w:sz w:val="24"/>
                <w:szCs w:val="24"/>
              </w:rPr>
            </w:pPr>
            <w:r>
              <w:rPr>
                <w:rFonts w:hint="eastAsia" w:ascii="方正小标宋_GBK" w:eastAsia="方正小标宋_GBK" w:cs="Times New Roman"/>
                <w:sz w:val="24"/>
                <w:szCs w:val="24"/>
              </w:rPr>
              <w:t xml:space="preserve">100 </w:t>
            </w:r>
            <w:r>
              <w:rPr>
                <w:rFonts w:hint="eastAsia" w:ascii="微软雅黑" w:hAnsi="微软雅黑" w:eastAsia="微软雅黑" w:cs="微软雅黑"/>
                <w:sz w:val="24"/>
                <w:szCs w:val="24"/>
              </w:rPr>
              <w:t>百分比</w:t>
            </w:r>
          </w:p>
        </w:tc>
        <w:tc>
          <w:tcPr>
            <w:tcW w:w="1963" w:type="dxa"/>
            <w:vAlign w:val="center"/>
          </w:tcPr>
          <w:p>
            <w:pPr>
              <w:jc w:val="left"/>
              <w:outlineLvl w:val="0"/>
              <w:rPr>
                <w:rFonts w:ascii="方正小标宋_GBK" w:eastAsia="方正小标宋_GBK" w:cs="Times New Roman"/>
                <w:sz w:val="24"/>
                <w:szCs w:val="24"/>
              </w:rPr>
            </w:pPr>
            <w:r>
              <w:rPr>
                <w:rFonts w:hint="eastAsia" w:ascii="微软雅黑" w:hAnsi="微软雅黑" w:eastAsia="微软雅黑" w:cs="微软雅黑"/>
                <w:sz w:val="24"/>
                <w:szCs w:val="24"/>
              </w:rPr>
              <w:t>群众满意率</w:t>
            </w:r>
          </w:p>
        </w:tc>
      </w:tr>
    </w:tbl>
    <w:p>
      <w:pPr>
        <w:outlineLvl w:val="0"/>
        <w:rPr>
          <w:rFonts w:ascii="方正小标宋_GBK" w:eastAsia="方正小标宋_GBK" w:cs="Times New Roman"/>
          <w:color w:val="FFFFFF"/>
          <w:sz w:val="32"/>
          <w:szCs w:val="32"/>
        </w:rPr>
      </w:pPr>
    </w:p>
    <w:p>
      <w:pPr>
        <w:numPr>
          <w:ilvl w:val="0"/>
          <w:numId w:val="1"/>
        </w:numPr>
        <w:autoSpaceDE w:val="0"/>
        <w:autoSpaceDN w:val="0"/>
        <w:adjustRightInd w:val="0"/>
        <w:jc w:val="left"/>
        <w:rPr>
          <w:rFonts w:ascii="Times New Roman" w:hAnsi="Times New Roman" w:eastAsia="仿宋" w:cs="仿宋"/>
          <w:b/>
          <w:bCs/>
          <w:sz w:val="32"/>
          <w:szCs w:val="32"/>
        </w:rPr>
      </w:pPr>
      <w:r>
        <w:rPr>
          <w:rFonts w:hint="eastAsia" w:ascii="Times New Roman" w:hAnsi="Times New Roman" w:eastAsia="仿宋" w:cs="仿宋"/>
          <w:b/>
          <w:bCs/>
          <w:sz w:val="32"/>
          <w:szCs w:val="32"/>
        </w:rPr>
        <w:t>冀财行【2019】42号/提前下达2020年省级妇女之家建设专项资金绩效目标表</w:t>
      </w:r>
    </w:p>
    <w:p>
      <w:pPr>
        <w:rPr>
          <w:rFonts w:hint="eastAsia"/>
        </w:rPr>
      </w:pPr>
      <w:r>
        <w:rPr>
          <w:rFonts w:hint="eastAsia" w:cs="方正小标宋_GBK"/>
        </w:rPr>
        <w:t xml:space="preserve">713002隆尧县妇女联合会 </w:t>
      </w:r>
      <w:r>
        <w:rPr>
          <w:rFonts w:cs="方正小标宋_GBK"/>
        </w:rPr>
        <w:t xml:space="preserve"> </w:t>
      </w:r>
      <w:r>
        <w:t xml:space="preserve">                                                                                                    </w:t>
      </w:r>
      <w:r>
        <w:rPr>
          <w:rFonts w:hint="eastAsia"/>
        </w:rPr>
        <w:t>单位：元</w:t>
      </w:r>
    </w:p>
    <w:tbl>
      <w:tblPr>
        <w:tblStyle w:val="13"/>
        <w:tblW w:w="14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850"/>
        <w:gridCol w:w="1559"/>
        <w:gridCol w:w="700"/>
        <w:gridCol w:w="860"/>
        <w:gridCol w:w="992"/>
        <w:gridCol w:w="537"/>
        <w:gridCol w:w="1873"/>
        <w:gridCol w:w="516"/>
        <w:gridCol w:w="476"/>
        <w:gridCol w:w="1276"/>
        <w:gridCol w:w="637"/>
        <w:gridCol w:w="71"/>
        <w:gridCol w:w="1084"/>
        <w:gridCol w:w="1234"/>
      </w:tblGrid>
      <w:tr>
        <w:tblPrEx>
          <w:tblLayout w:type="fixed"/>
          <w:tblCellMar>
            <w:top w:w="0" w:type="dxa"/>
            <w:left w:w="108" w:type="dxa"/>
            <w:bottom w:w="0" w:type="dxa"/>
            <w:right w:w="108" w:type="dxa"/>
          </w:tblCellMar>
        </w:tblPrEx>
        <w:trPr>
          <w:trHeight w:val="558" w:hRule="atLeast"/>
        </w:trPr>
        <w:tc>
          <w:tcPr>
            <w:tcW w:w="1668" w:type="dxa"/>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项目编码</w:t>
            </w:r>
          </w:p>
        </w:tc>
        <w:tc>
          <w:tcPr>
            <w:tcW w:w="3109" w:type="dxa"/>
            <w:gridSpan w:val="3"/>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713-0502-YXN-CZUR</w:t>
            </w:r>
          </w:p>
        </w:tc>
        <w:tc>
          <w:tcPr>
            <w:tcW w:w="1852"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项目名称</w:t>
            </w:r>
          </w:p>
        </w:tc>
        <w:tc>
          <w:tcPr>
            <w:tcW w:w="7704" w:type="dxa"/>
            <w:gridSpan w:val="9"/>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冀财行【2019】42号/提前下达2020年省级妇女之家建设专项资金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2518" w:type="dxa"/>
            <w:gridSpan w:val="2"/>
            <w:vMerge w:val="restart"/>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预算规模及资金用途</w:t>
            </w:r>
          </w:p>
        </w:tc>
        <w:tc>
          <w:tcPr>
            <w:tcW w:w="225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预算数</w:t>
            </w:r>
          </w:p>
        </w:tc>
        <w:tc>
          <w:tcPr>
            <w:tcW w:w="2389" w:type="dxa"/>
            <w:gridSpan w:val="3"/>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100000. 00</w:t>
            </w:r>
          </w:p>
        </w:tc>
        <w:tc>
          <w:tcPr>
            <w:tcW w:w="238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其中:财政资金</w:t>
            </w:r>
          </w:p>
        </w:tc>
        <w:tc>
          <w:tcPr>
            <w:tcW w:w="1752" w:type="dxa"/>
            <w:gridSpan w:val="2"/>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100000. 00</w:t>
            </w:r>
          </w:p>
        </w:tc>
        <w:tc>
          <w:tcPr>
            <w:tcW w:w="1792"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其他资金</w:t>
            </w:r>
          </w:p>
        </w:tc>
        <w:tc>
          <w:tcPr>
            <w:tcW w:w="1234" w:type="dxa"/>
            <w:vAlign w:val="center"/>
          </w:tcPr>
          <w:p>
            <w:pPr>
              <w:jc w:val="center"/>
              <w:outlineLvl w:val="0"/>
              <w:rPr>
                <w:rFonts w:ascii="微软雅黑" w:hAnsi="微软雅黑" w:eastAsia="微软雅黑" w:cs="微软雅黑"/>
                <w:sz w:val="24"/>
                <w:szCs w:val="24"/>
              </w:rPr>
            </w:pPr>
          </w:p>
        </w:tc>
      </w:tr>
      <w:tr>
        <w:tblPrEx>
          <w:tblLayout w:type="fixed"/>
          <w:tblCellMar>
            <w:top w:w="0" w:type="dxa"/>
            <w:left w:w="108" w:type="dxa"/>
            <w:bottom w:w="0" w:type="dxa"/>
            <w:right w:w="108" w:type="dxa"/>
          </w:tblCellMar>
        </w:tblPrEx>
        <w:trPr>
          <w:trHeight w:val="703" w:hRule="atLeast"/>
        </w:trPr>
        <w:tc>
          <w:tcPr>
            <w:tcW w:w="2518" w:type="dxa"/>
            <w:gridSpan w:val="2"/>
            <w:vMerge w:val="continue"/>
            <w:vAlign w:val="center"/>
          </w:tcPr>
          <w:p>
            <w:pPr>
              <w:jc w:val="center"/>
              <w:outlineLvl w:val="0"/>
              <w:rPr>
                <w:rFonts w:ascii="微软雅黑" w:hAnsi="微软雅黑" w:eastAsia="微软雅黑" w:cs="微软雅黑"/>
                <w:sz w:val="24"/>
                <w:szCs w:val="24"/>
              </w:rPr>
            </w:pPr>
          </w:p>
        </w:tc>
        <w:tc>
          <w:tcPr>
            <w:tcW w:w="11815" w:type="dxa"/>
            <w:gridSpan w:val="1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把妇女之家建没成基层妇联工作的重要阵地，妇联组织在广大妇女心目中的贴心家园，进一步提升软硬件水平，丰富内容，更好地服务妇女儿童多样化的需求，以便妇女儿童工作的顺利开展。</w:t>
            </w:r>
          </w:p>
        </w:tc>
      </w:tr>
      <w:tr>
        <w:tblPrEx>
          <w:tblLayout w:type="fixed"/>
          <w:tblCellMar>
            <w:top w:w="0" w:type="dxa"/>
            <w:left w:w="108" w:type="dxa"/>
            <w:bottom w:w="0" w:type="dxa"/>
            <w:right w:w="108" w:type="dxa"/>
          </w:tblCellMar>
        </w:tblPrEx>
        <w:trPr>
          <w:trHeight w:val="168" w:hRule="atLeast"/>
        </w:trPr>
        <w:tc>
          <w:tcPr>
            <w:tcW w:w="2518" w:type="dxa"/>
            <w:gridSpan w:val="2"/>
            <w:vMerge w:val="restart"/>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资金支出计划(%)</w:t>
            </w:r>
          </w:p>
        </w:tc>
        <w:tc>
          <w:tcPr>
            <w:tcW w:w="3119"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3月底</w:t>
            </w:r>
          </w:p>
        </w:tc>
        <w:tc>
          <w:tcPr>
            <w:tcW w:w="3402"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6月底</w:t>
            </w:r>
          </w:p>
        </w:tc>
        <w:tc>
          <w:tcPr>
            <w:tcW w:w="2905"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10月底</w:t>
            </w:r>
          </w:p>
        </w:tc>
        <w:tc>
          <w:tcPr>
            <w:tcW w:w="2389"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12月底</w:t>
            </w:r>
          </w:p>
        </w:tc>
      </w:tr>
      <w:tr>
        <w:tblPrEx>
          <w:tblLayout w:type="fixed"/>
          <w:tblCellMar>
            <w:top w:w="0" w:type="dxa"/>
            <w:left w:w="108" w:type="dxa"/>
            <w:bottom w:w="0" w:type="dxa"/>
            <w:right w:w="108" w:type="dxa"/>
          </w:tblCellMar>
        </w:tblPrEx>
        <w:trPr>
          <w:trHeight w:val="92" w:hRule="atLeast"/>
        </w:trPr>
        <w:tc>
          <w:tcPr>
            <w:tcW w:w="2518" w:type="dxa"/>
            <w:gridSpan w:val="2"/>
            <w:vMerge w:val="continue"/>
            <w:vAlign w:val="center"/>
          </w:tcPr>
          <w:p>
            <w:pPr>
              <w:jc w:val="center"/>
              <w:outlineLvl w:val="0"/>
              <w:rPr>
                <w:rFonts w:ascii="微软雅黑" w:hAnsi="微软雅黑" w:eastAsia="微软雅黑" w:cs="微软雅黑"/>
                <w:sz w:val="24"/>
                <w:szCs w:val="24"/>
              </w:rPr>
            </w:pPr>
          </w:p>
        </w:tc>
        <w:tc>
          <w:tcPr>
            <w:tcW w:w="3119" w:type="dxa"/>
            <w:gridSpan w:val="3"/>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30.00</w:t>
            </w:r>
          </w:p>
        </w:tc>
        <w:tc>
          <w:tcPr>
            <w:tcW w:w="3402" w:type="dxa"/>
            <w:gridSpan w:val="3"/>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60. 00</w:t>
            </w:r>
          </w:p>
        </w:tc>
        <w:tc>
          <w:tcPr>
            <w:tcW w:w="2905" w:type="dxa"/>
            <w:gridSpan w:val="4"/>
            <w:vAlign w:val="center"/>
          </w:tcPr>
          <w:p>
            <w:pPr>
              <w:jc w:val="center"/>
              <w:outlineLvl w:val="0"/>
              <w:rPr>
                <w:rFonts w:ascii="微软雅黑" w:hAnsi="微软雅黑" w:eastAsia="微软雅黑" w:cs="微软雅黑"/>
                <w:sz w:val="24"/>
                <w:szCs w:val="24"/>
              </w:rPr>
            </w:pPr>
            <w:r>
              <w:rPr>
                <w:rFonts w:ascii="微软雅黑" w:hAnsi="微软雅黑" w:eastAsia="微软雅黑" w:cs="微软雅黑"/>
                <w:sz w:val="24"/>
                <w:szCs w:val="24"/>
              </w:rPr>
              <w:t>100.00</w:t>
            </w:r>
          </w:p>
        </w:tc>
        <w:tc>
          <w:tcPr>
            <w:tcW w:w="2389"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100.00</w:t>
            </w:r>
          </w:p>
        </w:tc>
      </w:tr>
      <w:tr>
        <w:tblPrEx>
          <w:tblLayout w:type="fixed"/>
          <w:tblCellMar>
            <w:top w:w="0" w:type="dxa"/>
            <w:left w:w="108" w:type="dxa"/>
            <w:bottom w:w="0" w:type="dxa"/>
            <w:right w:w="108" w:type="dxa"/>
          </w:tblCellMar>
        </w:tblPrEx>
        <w:trPr>
          <w:trHeight w:val="299" w:hRule="atLeast"/>
        </w:trPr>
        <w:tc>
          <w:tcPr>
            <w:tcW w:w="1668" w:type="dxa"/>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绩效目标</w:t>
            </w:r>
          </w:p>
        </w:tc>
        <w:tc>
          <w:tcPr>
            <w:tcW w:w="12665" w:type="dxa"/>
            <w:gridSpan w:val="1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 xml:space="preserve">1.妇女之家建设完成率 </w:t>
            </w:r>
            <w:r>
              <w:rPr>
                <w:rFonts w:ascii="微软雅黑" w:hAnsi="微软雅黑" w:eastAsia="微软雅黑" w:cs="微软雅黑"/>
                <w:sz w:val="24"/>
                <w:szCs w:val="24"/>
              </w:rPr>
              <w:t xml:space="preserve">                 </w:t>
            </w:r>
            <w:r>
              <w:rPr>
                <w:rFonts w:hint="eastAsia" w:ascii="微软雅黑" w:hAnsi="微软雅黑" w:eastAsia="微软雅黑" w:cs="微软雅黑"/>
                <w:sz w:val="24"/>
                <w:szCs w:val="24"/>
              </w:rPr>
              <w:t>2.妇女之家使用率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8" w:hRule="atLeast"/>
        </w:trPr>
        <w:tc>
          <w:tcPr>
            <w:tcW w:w="1668" w:type="dxa"/>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一级指标</w:t>
            </w:r>
          </w:p>
        </w:tc>
        <w:tc>
          <w:tcPr>
            <w:tcW w:w="240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二级指标</w:t>
            </w:r>
          </w:p>
        </w:tc>
        <w:tc>
          <w:tcPr>
            <w:tcW w:w="3089"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三级指标</w:t>
            </w:r>
          </w:p>
        </w:tc>
        <w:tc>
          <w:tcPr>
            <w:tcW w:w="2865"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绩效指标描述</w:t>
            </w:r>
          </w:p>
        </w:tc>
        <w:tc>
          <w:tcPr>
            <w:tcW w:w="1984"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指标值</w:t>
            </w:r>
          </w:p>
        </w:tc>
        <w:tc>
          <w:tcPr>
            <w:tcW w:w="2318"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3" w:hRule="atLeast"/>
        </w:trPr>
        <w:tc>
          <w:tcPr>
            <w:tcW w:w="1668" w:type="dxa"/>
            <w:vAlign w:val="center"/>
          </w:tcPr>
          <w:p>
            <w:pPr>
              <w:jc w:val="center"/>
              <w:outlineLvl w:val="0"/>
              <w:rPr>
                <w:rFonts w:hint="eastAsia" w:ascii="微软雅黑" w:hAnsi="微软雅黑" w:eastAsia="微软雅黑" w:cs="微软雅黑"/>
                <w:sz w:val="24"/>
                <w:szCs w:val="24"/>
              </w:rPr>
            </w:pPr>
            <w:r>
              <w:rPr>
                <w:rFonts w:hint="eastAsia" w:ascii="微软雅黑" w:hAnsi="微软雅黑" w:eastAsia="微软雅黑" w:cs="微软雅黑"/>
                <w:sz w:val="24"/>
                <w:szCs w:val="24"/>
              </w:rPr>
              <w:t>产出指标</w:t>
            </w:r>
          </w:p>
        </w:tc>
        <w:tc>
          <w:tcPr>
            <w:tcW w:w="240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数量指标</w:t>
            </w:r>
          </w:p>
        </w:tc>
        <w:tc>
          <w:tcPr>
            <w:tcW w:w="3089"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按照妇女之家的标准建设情况</w:t>
            </w:r>
          </w:p>
        </w:tc>
        <w:tc>
          <w:tcPr>
            <w:tcW w:w="2865"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各股室功能建设完成情况</w:t>
            </w:r>
          </w:p>
        </w:tc>
        <w:tc>
          <w:tcPr>
            <w:tcW w:w="1984"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100百分比</w:t>
            </w:r>
          </w:p>
        </w:tc>
        <w:tc>
          <w:tcPr>
            <w:tcW w:w="2318"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建设完成率</w:t>
            </w:r>
          </w:p>
        </w:tc>
      </w:tr>
      <w:tr>
        <w:tblPrEx>
          <w:tblLayout w:type="fixed"/>
          <w:tblCellMar>
            <w:top w:w="0" w:type="dxa"/>
            <w:left w:w="108" w:type="dxa"/>
            <w:bottom w:w="0" w:type="dxa"/>
            <w:right w:w="108" w:type="dxa"/>
          </w:tblCellMar>
        </w:tblPrEx>
        <w:trPr>
          <w:trHeight w:val="619" w:hRule="atLeast"/>
        </w:trPr>
        <w:tc>
          <w:tcPr>
            <w:tcW w:w="1668" w:type="dxa"/>
            <w:vMerge w:val="restart"/>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效果指标</w:t>
            </w:r>
          </w:p>
        </w:tc>
        <w:tc>
          <w:tcPr>
            <w:tcW w:w="240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社会效益指标</w:t>
            </w:r>
          </w:p>
        </w:tc>
        <w:tc>
          <w:tcPr>
            <w:tcW w:w="3089"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本年度在妇女之家开展活动的次数</w:t>
            </w:r>
          </w:p>
        </w:tc>
        <w:tc>
          <w:tcPr>
            <w:tcW w:w="2865"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开展活动的次数</w:t>
            </w:r>
          </w:p>
        </w:tc>
        <w:tc>
          <w:tcPr>
            <w:tcW w:w="1984"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≥24次数</w:t>
            </w:r>
          </w:p>
        </w:tc>
        <w:tc>
          <w:tcPr>
            <w:tcW w:w="2318"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开展活动的次数</w:t>
            </w:r>
          </w:p>
        </w:tc>
      </w:tr>
      <w:tr>
        <w:tblPrEx>
          <w:tblLayout w:type="fixed"/>
          <w:tblCellMar>
            <w:top w:w="0" w:type="dxa"/>
            <w:left w:w="108" w:type="dxa"/>
            <w:bottom w:w="0" w:type="dxa"/>
            <w:right w:w="108" w:type="dxa"/>
          </w:tblCellMar>
        </w:tblPrEx>
        <w:tc>
          <w:tcPr>
            <w:tcW w:w="1668" w:type="dxa"/>
            <w:vMerge w:val="continue"/>
            <w:vAlign w:val="center"/>
          </w:tcPr>
          <w:p>
            <w:pPr>
              <w:jc w:val="center"/>
              <w:outlineLvl w:val="0"/>
              <w:rPr>
                <w:rFonts w:ascii="微软雅黑" w:hAnsi="微软雅黑" w:eastAsia="微软雅黑" w:cs="微软雅黑"/>
                <w:sz w:val="24"/>
                <w:szCs w:val="24"/>
              </w:rPr>
            </w:pPr>
          </w:p>
        </w:tc>
        <w:tc>
          <w:tcPr>
            <w:tcW w:w="240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社会效益指标</w:t>
            </w:r>
          </w:p>
        </w:tc>
        <w:tc>
          <w:tcPr>
            <w:tcW w:w="3089"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受益的妇女儿童的人数</w:t>
            </w:r>
          </w:p>
        </w:tc>
        <w:tc>
          <w:tcPr>
            <w:tcW w:w="2865"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受益妇女儿童的人数</w:t>
            </w:r>
          </w:p>
        </w:tc>
        <w:tc>
          <w:tcPr>
            <w:tcW w:w="1984"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≥500人数</w:t>
            </w:r>
          </w:p>
        </w:tc>
        <w:tc>
          <w:tcPr>
            <w:tcW w:w="2318"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受益人数</w:t>
            </w:r>
          </w:p>
        </w:tc>
      </w:tr>
      <w:tr>
        <w:tblPrEx>
          <w:tblLayout w:type="fixed"/>
          <w:tblCellMar>
            <w:top w:w="0" w:type="dxa"/>
            <w:left w:w="108" w:type="dxa"/>
            <w:bottom w:w="0" w:type="dxa"/>
            <w:right w:w="108" w:type="dxa"/>
          </w:tblCellMar>
        </w:tblPrEx>
        <w:tc>
          <w:tcPr>
            <w:tcW w:w="1668" w:type="dxa"/>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满意度指标</w:t>
            </w:r>
          </w:p>
        </w:tc>
        <w:tc>
          <w:tcPr>
            <w:tcW w:w="2409"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服务对象满意度指标</w:t>
            </w:r>
          </w:p>
        </w:tc>
        <w:tc>
          <w:tcPr>
            <w:tcW w:w="3089" w:type="dxa"/>
            <w:gridSpan w:val="4"/>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妇女和妇联干部的满意度</w:t>
            </w:r>
          </w:p>
        </w:tc>
        <w:tc>
          <w:tcPr>
            <w:tcW w:w="2865"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参与人的满意度</w:t>
            </w:r>
          </w:p>
        </w:tc>
        <w:tc>
          <w:tcPr>
            <w:tcW w:w="1984" w:type="dxa"/>
            <w:gridSpan w:val="3"/>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≥80百分比</w:t>
            </w:r>
          </w:p>
        </w:tc>
        <w:tc>
          <w:tcPr>
            <w:tcW w:w="2318" w:type="dxa"/>
            <w:gridSpan w:val="2"/>
            <w:vAlign w:val="center"/>
          </w:tcPr>
          <w:p>
            <w:pPr>
              <w:jc w:val="center"/>
              <w:outlineLvl w:val="0"/>
              <w:rPr>
                <w:rFonts w:ascii="微软雅黑" w:hAnsi="微软雅黑" w:eastAsia="微软雅黑" w:cs="微软雅黑"/>
                <w:sz w:val="24"/>
                <w:szCs w:val="24"/>
              </w:rPr>
            </w:pPr>
            <w:r>
              <w:rPr>
                <w:rFonts w:hint="eastAsia" w:ascii="微软雅黑" w:hAnsi="微软雅黑" w:eastAsia="微软雅黑" w:cs="微软雅黑"/>
                <w:sz w:val="24"/>
                <w:szCs w:val="24"/>
              </w:rPr>
              <w:t>妇女和妇联干</w:t>
            </w:r>
            <w:r>
              <w:rPr>
                <w:rFonts w:hint="eastAsia" w:ascii="微软雅黑" w:hAnsi="微软雅黑" w:eastAsia="微软雅黑" w:cs="微软雅黑"/>
                <w:sz w:val="24"/>
                <w:szCs w:val="24"/>
              </w:rPr>
              <w:cr/>
            </w:r>
            <w:r>
              <w:rPr>
                <w:rFonts w:hint="eastAsia" w:ascii="微软雅黑" w:hAnsi="微软雅黑" w:eastAsia="微软雅黑" w:cs="微软雅黑"/>
                <w:sz w:val="24"/>
                <w:szCs w:val="24"/>
              </w:rPr>
              <w:t>的满意度</w:t>
            </w:r>
          </w:p>
        </w:tc>
      </w:tr>
    </w:tbl>
    <w:p>
      <w:pPr>
        <w:spacing w:line="300" w:lineRule="exact"/>
        <w:jc w:val="left"/>
        <w:outlineLvl w:val="0"/>
        <w:rPr>
          <w:rFonts w:cs="Times New Roman"/>
        </w:rPr>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仿宋"/>
          <w:sz w:val="32"/>
          <w:szCs w:val="32"/>
        </w:rPr>
      </w:pPr>
      <w:bookmarkStart w:id="2"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10.64</w:t>
      </w:r>
      <w:r>
        <w:rPr>
          <w:rFonts w:hint="eastAsia" w:ascii="Times New Roman" w:hAnsi="Times New Roman" w:eastAsia="仿宋" w:cs="仿宋"/>
          <w:sz w:val="32"/>
          <w:szCs w:val="32"/>
        </w:rPr>
        <w:t>万元。具体内容见下表。</w:t>
      </w:r>
      <w:bookmarkEnd w:id="2"/>
    </w:p>
    <w:p>
      <w:pPr>
        <w:ind w:firstLine="640" w:firstLineChars="200"/>
        <w:outlineLvl w:val="0"/>
        <w:rPr>
          <w:rFonts w:ascii="Times New Roman" w:hAnsi="Times New Roman" w:eastAsia="仿宋" w:cs="仿宋"/>
          <w:sz w:val="32"/>
          <w:szCs w:val="32"/>
        </w:rPr>
      </w:pPr>
    </w:p>
    <w:p>
      <w:pPr>
        <w:ind w:firstLine="640" w:firstLineChars="200"/>
        <w:outlineLvl w:val="0"/>
        <w:rPr>
          <w:rFonts w:ascii="Times New Roman" w:hAnsi="Times New Roman" w:eastAsia="仿宋" w:cs="仿宋"/>
          <w:sz w:val="32"/>
          <w:szCs w:val="32"/>
        </w:rPr>
      </w:pPr>
    </w:p>
    <w:p>
      <w:pPr>
        <w:ind w:firstLine="640" w:firstLineChars="200"/>
        <w:outlineLvl w:val="0"/>
        <w:rPr>
          <w:rFonts w:ascii="Times New Roman" w:hAnsi="Times New Roman" w:eastAsia="仿宋" w:cs="仿宋"/>
          <w:sz w:val="32"/>
          <w:szCs w:val="32"/>
        </w:rPr>
      </w:pPr>
    </w:p>
    <w:p>
      <w:pPr>
        <w:ind w:firstLine="640" w:firstLineChars="200"/>
        <w:outlineLvl w:val="0"/>
        <w:rPr>
          <w:rFonts w:ascii="Times New Roman" w:hAnsi="Times New Roman" w:eastAsia="仿宋" w:cs="仿宋"/>
          <w:sz w:val="32"/>
          <w:szCs w:val="32"/>
        </w:rPr>
      </w:pPr>
    </w:p>
    <w:p>
      <w:pPr>
        <w:ind w:firstLine="640" w:firstLineChars="200"/>
        <w:outlineLvl w:val="0"/>
        <w:rPr>
          <w:rFonts w:ascii="Times New Roman" w:hAnsi="Times New Roman" w:eastAsia="仿宋" w:cs="仿宋"/>
          <w:sz w:val="32"/>
          <w:szCs w:val="32"/>
        </w:rPr>
      </w:pPr>
    </w:p>
    <w:p>
      <w:pPr>
        <w:ind w:firstLine="640" w:firstLineChars="200"/>
        <w:outlineLvl w:val="0"/>
        <w:rPr>
          <w:rFonts w:ascii="Times New Roman" w:hAnsi="Times New Roman" w:eastAsia="仿宋" w:cs="仿宋"/>
          <w:sz w:val="32"/>
          <w:szCs w:val="32"/>
        </w:rPr>
      </w:pPr>
    </w:p>
    <w:p>
      <w:pPr>
        <w:ind w:firstLine="640" w:firstLineChars="200"/>
        <w:outlineLvl w:val="0"/>
        <w:rPr>
          <w:rFonts w:hint="eastAsia" w:ascii="Times New Roman" w:hAnsi="Times New Roman" w:eastAsia="仿宋" w:cs="Times New Roman"/>
          <w:sz w:val="32"/>
          <w:szCs w:val="32"/>
        </w:rPr>
      </w:pPr>
    </w:p>
    <w:p>
      <w:pPr>
        <w:jc w:val="center"/>
        <w:outlineLvl w:val="0"/>
        <w:rPr>
          <w:rFonts w:ascii="方正小标宋_GBK" w:eastAsia="方正小标宋_GBK" w:cs="Times New Roman"/>
          <w:sz w:val="32"/>
          <w:szCs w:val="32"/>
        </w:rPr>
      </w:pPr>
      <w:bookmarkStart w:id="3" w:name="_Toc1996015"/>
      <w:r>
        <w:rPr>
          <w:rFonts w:hint="eastAsia" w:ascii="方正小标宋_GBK" w:eastAsia="方正小标宋_GBK" w:cs="方正小标宋_GBK"/>
          <w:sz w:val="32"/>
          <w:szCs w:val="32"/>
        </w:rPr>
        <w:t>部门政府采购预算</w:t>
      </w:r>
      <w:bookmarkEnd w:id="3"/>
    </w:p>
    <w:tbl>
      <w:tblPr>
        <w:tblStyle w:val="12"/>
        <w:tblW w:w="145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4"/>
        <w:gridCol w:w="1161"/>
        <w:gridCol w:w="851"/>
        <w:gridCol w:w="951"/>
        <w:gridCol w:w="550"/>
        <w:gridCol w:w="951"/>
        <w:gridCol w:w="951"/>
        <w:gridCol w:w="1169"/>
        <w:gridCol w:w="1169"/>
        <w:gridCol w:w="1169"/>
        <w:gridCol w:w="839"/>
        <w:gridCol w:w="842"/>
        <w:gridCol w:w="842"/>
        <w:gridCol w:w="799"/>
      </w:tblGrid>
      <w:tr>
        <w:tblPrEx>
          <w:tblLayout w:type="fixed"/>
          <w:tblCellMar>
            <w:top w:w="0" w:type="dxa"/>
            <w:left w:w="108" w:type="dxa"/>
            <w:bottom w:w="0" w:type="dxa"/>
            <w:right w:w="108" w:type="dxa"/>
          </w:tblCellMar>
        </w:tblPrEx>
        <w:trPr>
          <w:tblHeader/>
          <w:jc w:val="center"/>
        </w:trPr>
        <w:tc>
          <w:tcPr>
            <w:tcW w:w="7739"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713</w:t>
            </w:r>
            <w:r>
              <w:rPr>
                <w:rFonts w:hint="eastAsia" w:ascii="方正小标宋_GBK" w:eastAsia="方正小标宋_GBK" w:cs="方正小标宋_GBK"/>
                <w:sz w:val="24"/>
                <w:szCs w:val="24"/>
              </w:rPr>
              <w:t>隆尧县妇联</w:t>
            </w:r>
          </w:p>
        </w:tc>
        <w:tc>
          <w:tcPr>
            <w:tcW w:w="6829"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单位：元</w:t>
            </w:r>
          </w:p>
        </w:tc>
      </w:tr>
      <w:tr>
        <w:tblPrEx>
          <w:tblLayout w:type="fixed"/>
          <w:tblCellMar>
            <w:top w:w="0" w:type="dxa"/>
            <w:left w:w="108" w:type="dxa"/>
            <w:bottom w:w="0" w:type="dxa"/>
            <w:right w:w="108" w:type="dxa"/>
          </w:tblCellMar>
        </w:tblPrEx>
        <w:trPr>
          <w:tblHeader/>
          <w:jc w:val="center"/>
        </w:trPr>
        <w:tc>
          <w:tcPr>
            <w:tcW w:w="3485"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8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9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550"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9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6829" w:type="dxa"/>
            <w:gridSpan w:val="7"/>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w:t>
            </w:r>
          </w:p>
        </w:tc>
      </w:tr>
      <w:tr>
        <w:tblPrEx>
          <w:tblLayout w:type="fixed"/>
          <w:tblCellMar>
            <w:top w:w="0" w:type="dxa"/>
            <w:left w:w="108" w:type="dxa"/>
            <w:bottom w:w="0" w:type="dxa"/>
            <w:right w:w="108" w:type="dxa"/>
          </w:tblCellMar>
        </w:tblPrEx>
        <w:trPr>
          <w:tblHeader/>
          <w:jc w:val="center"/>
        </w:trPr>
        <w:tc>
          <w:tcPr>
            <w:tcW w:w="232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6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851"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550"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116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总计</w:t>
            </w:r>
          </w:p>
        </w:tc>
        <w:tc>
          <w:tcPr>
            <w:tcW w:w="4861" w:type="dxa"/>
            <w:gridSpan w:val="5"/>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当年部门预算安排资金</w:t>
            </w:r>
          </w:p>
        </w:tc>
        <w:tc>
          <w:tcPr>
            <w:tcW w:w="79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其他渠道资金</w:t>
            </w:r>
          </w:p>
        </w:tc>
      </w:tr>
      <w:tr>
        <w:tblPrEx>
          <w:tblLayout w:type="fixed"/>
          <w:tblCellMar>
            <w:top w:w="0" w:type="dxa"/>
            <w:left w:w="108" w:type="dxa"/>
            <w:bottom w:w="0" w:type="dxa"/>
            <w:right w:w="108" w:type="dxa"/>
          </w:tblCellMar>
        </w:tblPrEx>
        <w:trPr>
          <w:tblHeader/>
          <w:jc w:val="center"/>
        </w:trPr>
        <w:tc>
          <w:tcPr>
            <w:tcW w:w="2324"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851"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550"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1169" w:type="dxa"/>
            <w:vMerge w:val="continue"/>
            <w:vAlign w:val="center"/>
          </w:tcPr>
          <w:p>
            <w:pPr>
              <w:spacing w:line="300" w:lineRule="exact"/>
              <w:jc w:val="left"/>
              <w:outlineLvl w:val="0"/>
              <w:rPr>
                <w:rFonts w:cs="Times New Roman"/>
              </w:rPr>
            </w:pPr>
          </w:p>
        </w:tc>
        <w:tc>
          <w:tcPr>
            <w:tcW w:w="116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116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83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842"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42"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c>
          <w:tcPr>
            <w:tcW w:w="799" w:type="dxa"/>
            <w:vMerge w:val="continue"/>
            <w:vAlign w:val="center"/>
          </w:tcPr>
          <w:p>
            <w:pPr>
              <w:spacing w:line="300" w:lineRule="exact"/>
              <w:jc w:val="left"/>
              <w:outlineLvl w:val="0"/>
              <w:rPr>
                <w:rFonts w:cs="Times New Roman"/>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隆尧县妇女联合会小计</w:t>
            </w:r>
          </w:p>
        </w:tc>
        <w:tc>
          <w:tcPr>
            <w:tcW w:w="1161" w:type="dxa"/>
            <w:vAlign w:val="center"/>
          </w:tcPr>
          <w:p>
            <w:pPr>
              <w:spacing w:line="300" w:lineRule="exact"/>
              <w:jc w:val="right"/>
              <w:rPr>
                <w:rFonts w:ascii="方正书宋_GBK" w:eastAsia="方正书宋_GBK" w:cs="Times New Roman"/>
                <w:b/>
                <w:bCs/>
              </w:rPr>
            </w:pPr>
          </w:p>
        </w:tc>
        <w:tc>
          <w:tcPr>
            <w:tcW w:w="851" w:type="dxa"/>
            <w:vAlign w:val="center"/>
          </w:tcPr>
          <w:p>
            <w:pPr>
              <w:spacing w:line="300" w:lineRule="exact"/>
              <w:jc w:val="left"/>
              <w:rPr>
                <w:rFonts w:ascii="方正书宋_GBK" w:eastAsia="方正书宋_GBK" w:cs="Times New Roman"/>
                <w:b/>
                <w:bCs/>
              </w:rPr>
            </w:pPr>
          </w:p>
        </w:tc>
        <w:tc>
          <w:tcPr>
            <w:tcW w:w="951" w:type="dxa"/>
            <w:vAlign w:val="center"/>
          </w:tcPr>
          <w:p>
            <w:pPr>
              <w:spacing w:line="300" w:lineRule="exact"/>
              <w:jc w:val="left"/>
              <w:rPr>
                <w:rFonts w:ascii="方正书宋_GBK" w:eastAsia="方正书宋_GBK" w:cs="Times New Roman"/>
                <w:b/>
                <w:bCs/>
              </w:rPr>
            </w:pPr>
          </w:p>
        </w:tc>
        <w:tc>
          <w:tcPr>
            <w:tcW w:w="550" w:type="dxa"/>
            <w:vAlign w:val="center"/>
          </w:tcPr>
          <w:p>
            <w:pPr>
              <w:spacing w:line="300" w:lineRule="exact"/>
              <w:jc w:val="left"/>
              <w:rPr>
                <w:rFonts w:ascii="方正书宋_GBK" w:eastAsia="方正书宋_GBK" w:cs="Times New Roman"/>
                <w:b/>
                <w:bCs/>
              </w:rPr>
            </w:pPr>
          </w:p>
        </w:tc>
        <w:tc>
          <w:tcPr>
            <w:tcW w:w="951" w:type="dxa"/>
            <w:vAlign w:val="center"/>
          </w:tcPr>
          <w:p>
            <w:pPr>
              <w:spacing w:line="300" w:lineRule="exact"/>
              <w:jc w:val="right"/>
              <w:rPr>
                <w:rFonts w:ascii="方正书宋_GBK" w:eastAsia="方正书宋_GBK" w:cs="Times New Roman"/>
                <w:b/>
                <w:bCs/>
              </w:rPr>
            </w:pPr>
          </w:p>
        </w:tc>
        <w:tc>
          <w:tcPr>
            <w:tcW w:w="951" w:type="dxa"/>
            <w:vAlign w:val="center"/>
          </w:tcPr>
          <w:p>
            <w:pPr>
              <w:spacing w:line="300" w:lineRule="exact"/>
              <w:jc w:val="right"/>
              <w:rPr>
                <w:rFonts w:ascii="方正书宋_GBK" w:eastAsia="方正书宋_GBK" w:cs="Times New Roman"/>
                <w:b/>
                <w:bCs/>
              </w:rPr>
            </w:pPr>
          </w:p>
        </w:tc>
        <w:tc>
          <w:tcPr>
            <w:tcW w:w="1169"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rPr>
              <w:t>106440.00</w:t>
            </w:r>
          </w:p>
        </w:tc>
        <w:tc>
          <w:tcPr>
            <w:tcW w:w="1169"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rPr>
              <w:t>106440.00</w:t>
            </w:r>
          </w:p>
        </w:tc>
        <w:tc>
          <w:tcPr>
            <w:tcW w:w="1169"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rPr>
              <w:t>106440.00</w:t>
            </w:r>
          </w:p>
        </w:tc>
        <w:tc>
          <w:tcPr>
            <w:tcW w:w="839" w:type="dxa"/>
            <w:vAlign w:val="center"/>
          </w:tcPr>
          <w:p>
            <w:pPr>
              <w:spacing w:line="300" w:lineRule="exact"/>
              <w:jc w:val="right"/>
              <w:rPr>
                <w:rFonts w:ascii="方正书宋_GBK" w:eastAsia="方正书宋_GBK" w:cs="方正书宋_GBK"/>
                <w:b/>
                <w:bCs/>
              </w:rPr>
            </w:pPr>
          </w:p>
        </w:tc>
        <w:tc>
          <w:tcPr>
            <w:tcW w:w="842" w:type="dxa"/>
            <w:vAlign w:val="center"/>
          </w:tcPr>
          <w:p>
            <w:pPr>
              <w:spacing w:line="300" w:lineRule="exact"/>
              <w:jc w:val="right"/>
              <w:rPr>
                <w:rFonts w:ascii="方正书宋_GBK" w:eastAsia="方正书宋_GBK" w:cs="方正书宋_GBK"/>
                <w:b/>
                <w:bCs/>
              </w:rPr>
            </w:pPr>
          </w:p>
        </w:tc>
        <w:tc>
          <w:tcPr>
            <w:tcW w:w="842" w:type="dxa"/>
            <w:vAlign w:val="center"/>
          </w:tcPr>
          <w:p>
            <w:pPr>
              <w:spacing w:line="300" w:lineRule="exact"/>
              <w:jc w:val="right"/>
              <w:rPr>
                <w:rFonts w:ascii="方正书宋_GBK" w:eastAsia="方正书宋_GBK" w:cs="方正书宋_GBK"/>
                <w:b/>
                <w:bCs/>
              </w:rPr>
            </w:pPr>
          </w:p>
        </w:tc>
        <w:tc>
          <w:tcPr>
            <w:tcW w:w="799" w:type="dxa"/>
            <w:vAlign w:val="center"/>
          </w:tcPr>
          <w:p>
            <w:pPr>
              <w:spacing w:line="300" w:lineRule="exact"/>
              <w:jc w:val="right"/>
              <w:rPr>
                <w:rFonts w:ascii="方正书宋_GBK" w:eastAsia="方正书宋_GBK" w:cs="方正书宋_GBK"/>
                <w:b/>
                <w:bCs/>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妇联经费</w:t>
            </w:r>
          </w:p>
        </w:tc>
        <w:tc>
          <w:tcPr>
            <w:tcW w:w="116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85000.00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其他文教用品</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A090499</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200.00</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72.20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14440.00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14440.00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14440.00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妇联经费</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85000.00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其他纸制品</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A090199</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1000.00</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42.00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42000.00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42000.00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42000.00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妇联经费</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85000.00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基础电信服务</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C0301101</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年</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200.00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200.00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200.00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200.00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妇联经费</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85000.00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其他沙发类</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A060499</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10.00</w:t>
            </w:r>
          </w:p>
        </w:tc>
        <w:tc>
          <w:tcPr>
            <w:tcW w:w="9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800.00</w:t>
            </w:r>
          </w:p>
        </w:tc>
        <w:tc>
          <w:tcPr>
            <w:tcW w:w="1169"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8000.00</w:t>
            </w:r>
          </w:p>
        </w:tc>
        <w:tc>
          <w:tcPr>
            <w:tcW w:w="1169"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8000.00</w:t>
            </w:r>
          </w:p>
        </w:tc>
        <w:tc>
          <w:tcPr>
            <w:tcW w:w="1169"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8000.00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冀财行</w:t>
            </w:r>
            <w:r>
              <w:rPr>
                <w:rFonts w:ascii="方正书宋_GBK" w:eastAsia="方正书宋_GBK" w:cs="方正书宋_GBK"/>
              </w:rPr>
              <w:t>[201</w:t>
            </w:r>
            <w:r>
              <w:rPr>
                <w:rFonts w:hint="eastAsia" w:ascii="方正书宋_GBK" w:eastAsia="方正书宋_GBK" w:cs="方正书宋_GBK"/>
              </w:rPr>
              <w:t>9</w:t>
            </w:r>
            <w:r>
              <w:rPr>
                <w:rFonts w:ascii="方正书宋_GBK" w:eastAsia="方正书宋_GBK" w:cs="方正书宋_GBK"/>
              </w:rPr>
              <w:t>]</w:t>
            </w:r>
            <w:r>
              <w:rPr>
                <w:rFonts w:hint="eastAsia" w:ascii="方正书宋_GBK" w:eastAsia="方正书宋_GBK" w:cs="方正书宋_GBK"/>
              </w:rPr>
              <w:t>42号</w:t>
            </w:r>
            <w:r>
              <w:rPr>
                <w:rFonts w:ascii="方正书宋_GBK" w:eastAsia="方正书宋_GBK" w:cs="方正书宋_GBK"/>
              </w:rPr>
              <w:t>/</w:t>
            </w:r>
            <w:r>
              <w:rPr>
                <w:rFonts w:hint="eastAsia" w:ascii="方正书宋_GBK" w:eastAsia="方正书宋_GBK" w:cs="方正书宋_GBK"/>
              </w:rPr>
              <w:t>提前下达</w:t>
            </w:r>
            <w:r>
              <w:rPr>
                <w:rFonts w:ascii="方正书宋_GBK" w:eastAsia="方正书宋_GBK" w:cs="方正书宋_GBK"/>
              </w:rPr>
              <w:t>20</w:t>
            </w:r>
            <w:r>
              <w:rPr>
                <w:rFonts w:hint="eastAsia" w:ascii="方正书宋_GBK" w:eastAsia="方正书宋_GBK" w:cs="方正书宋_GBK"/>
              </w:rPr>
              <w:t>20年妇女之家建设专项资金</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100000.00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音箱</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A02091211</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2.00</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1500.00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3000.00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3000.00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3000.00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冀财行</w:t>
            </w:r>
            <w:r>
              <w:rPr>
                <w:rFonts w:ascii="方正书宋_GBK" w:eastAsia="方正书宋_GBK" w:cs="方正书宋_GBK"/>
              </w:rPr>
              <w:t>[201</w:t>
            </w:r>
            <w:r>
              <w:rPr>
                <w:rFonts w:hint="eastAsia" w:ascii="方正书宋_GBK" w:eastAsia="方正书宋_GBK" w:cs="方正书宋_GBK"/>
              </w:rPr>
              <w:t>9</w:t>
            </w:r>
            <w:r>
              <w:rPr>
                <w:rFonts w:ascii="方正书宋_GBK" w:eastAsia="方正书宋_GBK" w:cs="方正书宋_GBK"/>
              </w:rPr>
              <w:t>]</w:t>
            </w:r>
            <w:r>
              <w:rPr>
                <w:rFonts w:hint="eastAsia" w:ascii="方正书宋_GBK" w:eastAsia="方正书宋_GBK" w:cs="方正书宋_GBK"/>
              </w:rPr>
              <w:t>42号</w:t>
            </w:r>
            <w:r>
              <w:rPr>
                <w:rFonts w:ascii="方正书宋_GBK" w:eastAsia="方正书宋_GBK" w:cs="方正书宋_GBK"/>
              </w:rPr>
              <w:t>/</w:t>
            </w:r>
            <w:r>
              <w:rPr>
                <w:rFonts w:hint="eastAsia" w:ascii="方正书宋_GBK" w:eastAsia="方正书宋_GBK" w:cs="方正书宋_GBK"/>
              </w:rPr>
              <w:t>提前下达</w:t>
            </w:r>
            <w:r>
              <w:rPr>
                <w:rFonts w:ascii="方正书宋_GBK" w:eastAsia="方正书宋_GBK" w:cs="方正书宋_GBK"/>
              </w:rPr>
              <w:t>20</w:t>
            </w:r>
            <w:r>
              <w:rPr>
                <w:rFonts w:hint="eastAsia" w:ascii="方正书宋_GBK" w:eastAsia="方正书宋_GBK" w:cs="方正书宋_GBK"/>
              </w:rPr>
              <w:t>20年妇女之家建设专项资金</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100000.00</w:t>
            </w:r>
          </w:p>
        </w:tc>
        <w:tc>
          <w:tcPr>
            <w:tcW w:w="8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便携计算机</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A02010105</w:t>
            </w:r>
          </w:p>
        </w:tc>
        <w:tc>
          <w:tcPr>
            <w:tcW w:w="550"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2.00</w:t>
            </w:r>
          </w:p>
        </w:tc>
        <w:tc>
          <w:tcPr>
            <w:tcW w:w="951" w:type="dxa"/>
            <w:vAlign w:val="center"/>
          </w:tcPr>
          <w:p>
            <w:pPr>
              <w:spacing w:line="300" w:lineRule="exact"/>
              <w:jc w:val="right"/>
              <w:rPr>
                <w:rFonts w:ascii="方正书宋_GBK" w:eastAsia="方正书宋_GBK" w:cs="方正书宋_GBK"/>
              </w:rPr>
            </w:pPr>
            <w:r>
              <w:rPr>
                <w:rFonts w:ascii="方正书宋_GBK" w:eastAsia="方正书宋_GBK" w:cs="方正书宋_GBK"/>
              </w:rPr>
              <w:t>7550.00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15100.00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15100.00</w:t>
            </w:r>
          </w:p>
        </w:tc>
        <w:tc>
          <w:tcPr>
            <w:tcW w:w="1169" w:type="dxa"/>
            <w:vAlign w:val="center"/>
          </w:tcPr>
          <w:p>
            <w:pPr>
              <w:spacing w:line="300" w:lineRule="exact"/>
              <w:jc w:val="right"/>
              <w:rPr>
                <w:rFonts w:ascii="方正书宋_GBK" w:eastAsia="方正书宋_GBK" w:cs="方正书宋_GBK"/>
              </w:rPr>
            </w:pPr>
            <w:r>
              <w:rPr>
                <w:rFonts w:ascii="方正书宋_GBK" w:eastAsia="方正书宋_GBK" w:cs="方正书宋_GBK"/>
              </w:rPr>
              <w:t>15100.00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r>
        <w:tblPrEx>
          <w:tblLayout w:type="fixed"/>
          <w:tblCellMar>
            <w:top w:w="0" w:type="dxa"/>
            <w:left w:w="108" w:type="dxa"/>
            <w:bottom w:w="0" w:type="dxa"/>
            <w:right w:w="108" w:type="dxa"/>
          </w:tblCellMar>
        </w:tblPrEx>
        <w:trPr>
          <w:jc w:val="center"/>
        </w:trPr>
        <w:tc>
          <w:tcPr>
            <w:tcW w:w="2324"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冀财行</w:t>
            </w:r>
            <w:r>
              <w:rPr>
                <w:rFonts w:ascii="方正书宋_GBK" w:eastAsia="方正书宋_GBK" w:cs="方正书宋_GBK"/>
              </w:rPr>
              <w:t>[201</w:t>
            </w:r>
            <w:r>
              <w:rPr>
                <w:rFonts w:hint="eastAsia" w:ascii="方正书宋_GBK" w:eastAsia="方正书宋_GBK" w:cs="方正书宋_GBK"/>
              </w:rPr>
              <w:t>9</w:t>
            </w:r>
            <w:r>
              <w:rPr>
                <w:rFonts w:ascii="方正书宋_GBK" w:eastAsia="方正书宋_GBK" w:cs="方正书宋_GBK"/>
              </w:rPr>
              <w:t>]</w:t>
            </w:r>
            <w:r>
              <w:rPr>
                <w:rFonts w:hint="eastAsia" w:ascii="方正书宋_GBK" w:eastAsia="方正书宋_GBK" w:cs="方正书宋_GBK"/>
              </w:rPr>
              <w:t>42号</w:t>
            </w:r>
            <w:r>
              <w:rPr>
                <w:rFonts w:ascii="方正书宋_GBK" w:eastAsia="方正书宋_GBK" w:cs="方正书宋_GBK"/>
              </w:rPr>
              <w:t>/</w:t>
            </w:r>
            <w:r>
              <w:rPr>
                <w:rFonts w:hint="eastAsia" w:ascii="方正书宋_GBK" w:eastAsia="方正书宋_GBK" w:cs="方正书宋_GBK"/>
              </w:rPr>
              <w:t>提前下达</w:t>
            </w:r>
            <w:r>
              <w:rPr>
                <w:rFonts w:ascii="方正书宋_GBK" w:eastAsia="方正书宋_GBK" w:cs="方正书宋_GBK"/>
              </w:rPr>
              <w:t>20</w:t>
            </w:r>
            <w:r>
              <w:rPr>
                <w:rFonts w:hint="eastAsia" w:ascii="方正书宋_GBK" w:eastAsia="方正书宋_GBK" w:cs="方正书宋_GBK"/>
              </w:rPr>
              <w:t>20年妇女之家建设专项资金</w:t>
            </w:r>
          </w:p>
        </w:tc>
        <w:tc>
          <w:tcPr>
            <w:tcW w:w="116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w:t>
            </w:r>
            <w:r>
              <w:rPr>
                <w:rFonts w:ascii="方正书宋_GBK" w:eastAsia="方正书宋_GBK" w:cs="方正书宋_GBK"/>
              </w:rPr>
              <w:t>00000.00</w:t>
            </w:r>
          </w:p>
        </w:tc>
        <w:tc>
          <w:tcPr>
            <w:tcW w:w="851"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其他沙发类</w:t>
            </w:r>
          </w:p>
        </w:tc>
        <w:tc>
          <w:tcPr>
            <w:tcW w:w="951"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A</w:t>
            </w:r>
            <w:r>
              <w:rPr>
                <w:rFonts w:ascii="方正书宋_GBK" w:eastAsia="方正书宋_GBK" w:cs="方正书宋_GBK"/>
              </w:rPr>
              <w:t>060499</w:t>
            </w:r>
          </w:p>
        </w:tc>
        <w:tc>
          <w:tcPr>
            <w:tcW w:w="550"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件</w:t>
            </w:r>
          </w:p>
        </w:tc>
        <w:tc>
          <w:tcPr>
            <w:tcW w:w="9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100.00</w:t>
            </w:r>
          </w:p>
        </w:tc>
        <w:tc>
          <w:tcPr>
            <w:tcW w:w="9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237.00</w:t>
            </w:r>
          </w:p>
        </w:tc>
        <w:tc>
          <w:tcPr>
            <w:tcW w:w="1169"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23700.00</w:t>
            </w:r>
          </w:p>
        </w:tc>
        <w:tc>
          <w:tcPr>
            <w:tcW w:w="1169"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23700.00</w:t>
            </w:r>
          </w:p>
        </w:tc>
        <w:tc>
          <w:tcPr>
            <w:tcW w:w="1169" w:type="dxa"/>
            <w:vAlign w:val="center"/>
          </w:tcPr>
          <w:p>
            <w:pPr>
              <w:spacing w:line="300" w:lineRule="exact"/>
              <w:jc w:val="right"/>
              <w:rPr>
                <w:rFonts w:hint="eastAsia" w:ascii="方正书宋_GBK" w:eastAsia="方正书宋_GBK" w:cs="方正书宋_GBK"/>
              </w:rPr>
            </w:pPr>
            <w:r>
              <w:rPr>
                <w:rFonts w:hint="eastAsia" w:ascii="方正书宋_GBK" w:eastAsia="方正书宋_GBK" w:cs="方正书宋_GBK"/>
              </w:rPr>
              <w:t>23700.</w:t>
            </w:r>
            <w:r>
              <w:rPr>
                <w:rFonts w:ascii="方正书宋_GBK" w:eastAsia="方正书宋_GBK" w:cs="方正书宋_GBK"/>
              </w:rPr>
              <w:t>00</w:t>
            </w:r>
          </w:p>
        </w:tc>
        <w:tc>
          <w:tcPr>
            <w:tcW w:w="839"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842" w:type="dxa"/>
            <w:vAlign w:val="center"/>
          </w:tcPr>
          <w:p>
            <w:pPr>
              <w:spacing w:line="300" w:lineRule="exact"/>
              <w:jc w:val="right"/>
              <w:rPr>
                <w:rFonts w:ascii="方正书宋_GBK" w:eastAsia="方正书宋_GBK" w:cs="方正书宋_GBK"/>
              </w:rPr>
            </w:pPr>
          </w:p>
        </w:tc>
        <w:tc>
          <w:tcPr>
            <w:tcW w:w="799" w:type="dxa"/>
            <w:vAlign w:val="center"/>
          </w:tcPr>
          <w:p>
            <w:pPr>
              <w:spacing w:line="300" w:lineRule="exact"/>
              <w:jc w:val="right"/>
              <w:rPr>
                <w:rFonts w:ascii="方正书宋_GBK" w:eastAsia="方正书宋_GBK" w:cs="方正书宋_GBK"/>
              </w:rPr>
            </w:pP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隆尧县妇女联合会</w:t>
      </w:r>
      <w:r>
        <w:rPr>
          <w:rFonts w:ascii="Times New Roman" w:hAnsi="Times New Roman" w:eastAsia="仿宋" w:cs="Times New Roman"/>
          <w:color w:val="000000"/>
          <w:sz w:val="32"/>
          <w:szCs w:val="32"/>
        </w:rPr>
        <w:t>201</w:t>
      </w:r>
      <w:r>
        <w:rPr>
          <w:rFonts w:ascii="Times New Roman" w:hAnsi="Times New Roman" w:eastAsia="仿宋" w:cs="Times New Roman"/>
          <w:color w:val="000000"/>
          <w:sz w:val="32"/>
          <w:szCs w:val="32"/>
        </w:rPr>
        <w:t>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2.14</w:t>
      </w:r>
      <w:r>
        <w:rPr>
          <w:rFonts w:hint="eastAsia" w:ascii="Times New Roman" w:hAnsi="Times New Roman" w:eastAsia="仿宋" w:cs="仿宋"/>
          <w:color w:val="000000"/>
          <w:sz w:val="32"/>
          <w:szCs w:val="32"/>
        </w:rPr>
        <w:t>万元（详见下表），本年度本单位（处室）拟购置固定资产总额为</w:t>
      </w:r>
      <w:r>
        <w:rPr>
          <w:rFonts w:hint="eastAsia" w:ascii="Times New Roman" w:hAnsi="Times New Roman" w:eastAsia="仿宋" w:cs="仿宋"/>
          <w:color w:val="000000"/>
          <w:sz w:val="32"/>
          <w:szCs w:val="32"/>
        </w:rPr>
        <w:t>4</w:t>
      </w:r>
      <w:r>
        <w:rPr>
          <w:rFonts w:ascii="Times New Roman" w:hAnsi="Times New Roman" w:eastAsia="仿宋" w:cs="仿宋"/>
          <w:color w:val="000000"/>
          <w:sz w:val="32"/>
          <w:szCs w:val="32"/>
        </w:rPr>
        <w:t>.98</w:t>
      </w:r>
      <w:r>
        <w:rPr>
          <w:rFonts w:hint="eastAsia" w:ascii="Times New Roman" w:hAnsi="Times New Roman" w:eastAsia="仿宋" w:cs="仿宋"/>
          <w:color w:val="000000"/>
          <w:sz w:val="32"/>
          <w:szCs w:val="32"/>
        </w:rPr>
        <w:t>万元，主要为计算机、一体机、办公家具等，已列入政府采购预算表，详见政府采购预算表。</w:t>
      </w:r>
    </w:p>
    <w:tbl>
      <w:tblPr>
        <w:tblStyle w:val="12"/>
        <w:tblW w:w="13482" w:type="dxa"/>
        <w:tblInd w:w="-106"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隆尧县妇女联合会固定资产占用情况表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编制部门：隆尧县妇女联合会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ascii="Times New Roman" w:hAnsi="Times New Roman" w:eastAsia="仿宋" w:cs="Times New Roman"/>
                <w:color w:val="000000"/>
                <w:kern w:val="0"/>
                <w:sz w:val="22"/>
                <w:szCs w:val="22"/>
              </w:rPr>
              <w:t>2.14</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2.14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00000000" w:usb2="00000000" w:usb3="00000000" w:csb0="80000000" w:csb1="00000000"/>
  </w:font>
  <w:font w:name="Arial">
    <w:altName w:val="Arial"/>
    <w:panose1 w:val="020B0604020202020204"/>
    <w:charset w:val="00"/>
    <w:family w:val="swiss"/>
    <w:pitch w:val="default"/>
    <w:sig w:usb0="E0002AFF" w:usb1="C0007843" w:usb2="00000009" w:usb3="00000000" w:csb0="400001FF" w:csb1="FFFF0000"/>
  </w:font>
  <w:font w:name="黑体">
    <w:altName w:val="黑体"/>
    <w:panose1 w:val="02010609060101010101"/>
    <w:charset w:val="00"/>
    <w:family w:val="auto"/>
    <w:pitch w:val="default"/>
    <w:sig w:usb0="800002BF" w:usb1="38CF7CFA" w:usb2="00000016" w:usb3="00000000" w:csb0="00040001" w:csb1="00000000"/>
  </w:font>
  <w:font w:name="Courier New">
    <w:altName w:val="Courier New"/>
    <w:panose1 w:val="02070309020205020404"/>
    <w:charset w:val="00"/>
    <w:family w:val="modern"/>
    <w:pitch w:val="default"/>
    <w:sig w:usb0="E0002AFF" w:usb1="C0007843" w:usb2="00000009" w:usb3="00000000" w:csb0="400001FF" w:csb1="FFFF0000"/>
  </w:font>
  <w:font w:name="Symbol">
    <w:altName w:val="Symbol"/>
    <w:panose1 w:val="05050102010706020507"/>
    <w:charset w:val="00"/>
    <w:family w:val="roman"/>
    <w:pitch w:val="default"/>
    <w:sig w:usb0="00000000" w:usb1="00000000" w:usb2="00000000" w:usb3="00000000" w:csb0="80000000"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00000000" w:usb1="00000000"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00000000" w:usb1="00000000" w:usb2="00000016" w:usb3="00000000" w:csb0="0004001F"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6"/>
        <w:rPr>
          <w:rFonts w:cs="Times New Roman"/>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D1F3C"/>
    <w:multiLevelType w:val="multilevel"/>
    <w:tmpl w:val="191D1F3C"/>
    <w:lvl w:ilvl="0" w:tentative="0">
      <w:start w:val="1"/>
      <w:numFmt w:val="decimal"/>
      <w:lvlText w:val="%1、"/>
      <w:lvlJc w:val="left"/>
      <w:pPr>
        <w:ind w:left="1561" w:hanging="720"/>
      </w:pPr>
      <w:rPr>
        <w:rFonts w:hint="default"/>
      </w:rPr>
    </w:lvl>
    <w:lvl w:ilvl="1" w:tentative="0">
      <w:start w:val="1"/>
      <w:numFmt w:val="lowerLetter"/>
      <w:lvlText w:val="%2)"/>
      <w:lvlJc w:val="left"/>
      <w:pPr>
        <w:ind w:left="1681" w:hanging="420"/>
      </w:pPr>
    </w:lvl>
    <w:lvl w:ilvl="2" w:tentative="0">
      <w:start w:val="1"/>
      <w:numFmt w:val="lowerRoman"/>
      <w:lvlText w:val="%3."/>
      <w:lvlJc w:val="right"/>
      <w:pPr>
        <w:ind w:left="2101" w:hanging="420"/>
      </w:pPr>
    </w:lvl>
    <w:lvl w:ilvl="3" w:tentative="0">
      <w:start w:val="1"/>
      <w:numFmt w:val="decimal"/>
      <w:lvlText w:val="%4."/>
      <w:lvlJc w:val="left"/>
      <w:pPr>
        <w:ind w:left="2521" w:hanging="420"/>
      </w:pPr>
    </w:lvl>
    <w:lvl w:ilvl="4" w:tentative="0">
      <w:start w:val="1"/>
      <w:numFmt w:val="lowerLetter"/>
      <w:lvlText w:val="%5)"/>
      <w:lvlJc w:val="left"/>
      <w:pPr>
        <w:ind w:left="2941" w:hanging="420"/>
      </w:pPr>
    </w:lvl>
    <w:lvl w:ilvl="5" w:tentative="0">
      <w:start w:val="1"/>
      <w:numFmt w:val="lowerRoman"/>
      <w:lvlText w:val="%6."/>
      <w:lvlJc w:val="right"/>
      <w:pPr>
        <w:ind w:left="3361" w:hanging="420"/>
      </w:pPr>
    </w:lvl>
    <w:lvl w:ilvl="6" w:tentative="0">
      <w:start w:val="1"/>
      <w:numFmt w:val="decimal"/>
      <w:lvlText w:val="%7."/>
      <w:lvlJc w:val="left"/>
      <w:pPr>
        <w:ind w:left="3781" w:hanging="420"/>
      </w:pPr>
    </w:lvl>
    <w:lvl w:ilvl="7" w:tentative="0">
      <w:start w:val="1"/>
      <w:numFmt w:val="lowerLetter"/>
      <w:lvlText w:val="%8)"/>
      <w:lvlJc w:val="left"/>
      <w:pPr>
        <w:ind w:left="4201" w:hanging="420"/>
      </w:pPr>
    </w:lvl>
    <w:lvl w:ilvl="8" w:tentative="0">
      <w:start w:val="1"/>
      <w:numFmt w:val="lowerRoman"/>
      <w:lvlText w:val="%9."/>
      <w:lvlJc w:val="right"/>
      <w:pPr>
        <w:ind w:left="4621"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locked/>
    <w:uiPriority w:val="0"/>
    <w:pPr>
      <w:keepNext/>
      <w:keepLines/>
      <w:spacing w:before="340" w:after="330" w:line="578" w:lineRule="auto"/>
      <w:outlineLvl w:val="0"/>
    </w:pPr>
    <w:rPr>
      <w:b/>
      <w:bCs/>
      <w:kern w:val="44"/>
      <w:sz w:val="44"/>
      <w:szCs w:val="44"/>
    </w:rPr>
  </w:style>
  <w:style w:type="character" w:default="1" w:styleId="9">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3">
    <w:name w:val="footer"/>
    <w:basedOn w:val="1"/>
    <w:link w:val="14"/>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qFormat/>
    <w:uiPriority w:val="99"/>
    <w:rPr>
      <w:rFonts w:ascii="Times New Roman" w:hAnsi="Times New Roman" w:cs="Times New Roman"/>
    </w:rPr>
  </w:style>
  <w:style w:type="paragraph" w:styleId="6">
    <w:name w:val="footnote text"/>
    <w:basedOn w:val="1"/>
    <w:link w:val="16"/>
    <w:semiHidden/>
    <w:qFormat/>
    <w:uiPriority w:val="99"/>
    <w:pPr>
      <w:snapToGrid w:val="0"/>
      <w:jc w:val="left"/>
    </w:pPr>
    <w:rPr>
      <w:sz w:val="18"/>
      <w:szCs w:val="18"/>
    </w:rPr>
  </w:style>
  <w:style w:type="paragraph" w:styleId="7">
    <w:name w:val="toc 2"/>
    <w:basedOn w:val="1"/>
    <w:next w:val="1"/>
    <w:semiHidden/>
    <w:qFormat/>
    <w:uiPriority w:val="99"/>
    <w:pPr>
      <w:ind w:left="420" w:leftChars="200"/>
    </w:pPr>
    <w:rPr>
      <w:rFonts w:ascii="Times New Roman" w:hAnsi="Times New Roman" w:cs="Times New Roman"/>
    </w:rPr>
  </w:style>
  <w:style w:type="paragraph" w:styleId="8">
    <w:name w:val="Title"/>
    <w:basedOn w:val="1"/>
    <w:next w:val="1"/>
    <w:link w:val="18"/>
    <w:qFormat/>
    <w:locked/>
    <w:uiPriority w:val="0"/>
    <w:pPr>
      <w:spacing w:before="240" w:after="60"/>
      <w:jc w:val="center"/>
      <w:outlineLvl w:val="0"/>
    </w:pPr>
    <w:rPr>
      <w:rFonts w:asciiTheme="majorHAnsi" w:hAnsiTheme="majorHAnsi" w:cstheme="majorBidi"/>
      <w:b/>
      <w:bCs/>
      <w:sz w:val="32"/>
      <w:szCs w:val="32"/>
    </w:rPr>
  </w:style>
  <w:style w:type="character" w:styleId="10">
    <w:name w:val="page number"/>
    <w:basedOn w:val="9"/>
    <w:semiHidden/>
    <w:qFormat/>
    <w:uiPriority w:val="99"/>
  </w:style>
  <w:style w:type="character" w:styleId="11">
    <w:name w:val="footnote reference"/>
    <w:basedOn w:val="9"/>
    <w:semiHidden/>
    <w:qFormat/>
    <w:uiPriority w:val="99"/>
    <w:rPr>
      <w:vertAlign w:val="superscript"/>
    </w:rPr>
  </w:style>
  <w:style w:type="table" w:styleId="13">
    <w:name w:val="Table Grid"/>
    <w:basedOn w:val="12"/>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4">
    <w:name w:val="页脚 字符"/>
    <w:basedOn w:val="9"/>
    <w:link w:val="3"/>
    <w:semiHidden/>
    <w:qFormat/>
    <w:locked/>
    <w:uiPriority w:val="99"/>
    <w:rPr>
      <w:rFonts w:ascii="Times New Roman" w:hAnsi="Times New Roman" w:eastAsia="宋体" w:cs="Times New Roman"/>
      <w:sz w:val="18"/>
      <w:szCs w:val="18"/>
    </w:rPr>
  </w:style>
  <w:style w:type="character" w:customStyle="1" w:styleId="15">
    <w:name w:val="页眉 字符"/>
    <w:basedOn w:val="9"/>
    <w:link w:val="4"/>
    <w:semiHidden/>
    <w:qFormat/>
    <w:locked/>
    <w:uiPriority w:val="99"/>
    <w:rPr>
      <w:rFonts w:ascii="Times New Roman" w:hAnsi="Times New Roman" w:eastAsia="宋体" w:cs="Times New Roman"/>
      <w:sz w:val="18"/>
      <w:szCs w:val="18"/>
    </w:rPr>
  </w:style>
  <w:style w:type="character" w:customStyle="1" w:styleId="16">
    <w:name w:val="脚注文本 字符"/>
    <w:basedOn w:val="9"/>
    <w:link w:val="6"/>
    <w:semiHidden/>
    <w:qFormat/>
    <w:locked/>
    <w:uiPriority w:val="99"/>
    <w:rPr>
      <w:sz w:val="18"/>
      <w:szCs w:val="18"/>
    </w:rPr>
  </w:style>
  <w:style w:type="paragraph" w:customStyle="1" w:styleId="17">
    <w:name w:val="Char"/>
    <w:basedOn w:val="1"/>
    <w:qFormat/>
    <w:uiPriority w:val="99"/>
    <w:rPr>
      <w:rFonts w:ascii="Times New Roman" w:hAnsi="Times New Roman" w:cs="Times New Roman"/>
    </w:rPr>
  </w:style>
  <w:style w:type="character" w:customStyle="1" w:styleId="18">
    <w:name w:val="标题 字符"/>
    <w:basedOn w:val="9"/>
    <w:link w:val="8"/>
    <w:uiPriority w:val="0"/>
    <w:rPr>
      <w:rFonts w:asciiTheme="majorHAnsi" w:hAnsiTheme="majorHAnsi" w:cstheme="majorBidi"/>
      <w:b/>
      <w:bCs/>
      <w:kern w:val="2"/>
      <w:sz w:val="32"/>
      <w:szCs w:val="32"/>
    </w:rPr>
  </w:style>
  <w:style w:type="character" w:customStyle="1" w:styleId="19">
    <w:name w:val="标题 1 字符"/>
    <w:basedOn w:val="9"/>
    <w:link w:val="2"/>
    <w:qFormat/>
    <w:uiPriority w:val="0"/>
    <w:rPr>
      <w:rFonts w:cs="Calibri"/>
      <w:b/>
      <w:bCs/>
      <w:kern w:val="44"/>
      <w:sz w:val="44"/>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727</Words>
  <Characters>4145</Characters>
  <Lines>34</Lines>
  <Paragraphs>9</Paragraphs>
  <TotalTime>0</TotalTime>
  <ScaleCrop>false</ScaleCrop>
  <LinksUpToDate>false</LinksUpToDate>
  <CharactersWithSpaces>4863</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iPhone</cp:lastModifiedBy>
  <cp:lastPrinted>2017-02-10T17:57:00Z</cp:lastPrinted>
  <dcterms:modified xsi:type="dcterms:W3CDTF">2021-05-22T19:13:24Z</dcterms:modified>
  <dc:title>o</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2052-11.9.1</vt:lpwstr>
  </property>
  <property fmtid="{D5CDD505-2E9C-101B-9397-08002B2CF9AE}" pid="3" name="ICV">
    <vt:lpwstr>69492E442B22BB0542E7A860D9E27773</vt:lpwstr>
  </property>
</Properties>
</file>