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隆尧县残联</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lang w:val="en-US" w:eastAsia="zh-CN"/>
        </w:rPr>
        <w:t>20</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pPr>
        <w:jc w:val="center"/>
        <w:rPr>
          <w:rFonts w:ascii="Times New Roman" w:hAnsi="Times New Roman" w:eastAsia="方正小标宋_GBK" w:cs="Times New Roman"/>
          <w:sz w:val="44"/>
          <w:szCs w:val="44"/>
        </w:rPr>
      </w:pPr>
    </w:p>
    <w:p>
      <w:pPr>
        <w:ind w:firstLine="640" w:firstLineChars="200"/>
        <w:rPr>
          <w:rFonts w:ascii="仿宋" w:hAnsi="仿宋" w:eastAsia="仿宋" w:cs="Times New Roman"/>
          <w:sz w:val="32"/>
          <w:szCs w:val="32"/>
        </w:rPr>
      </w:pPr>
      <w:r>
        <w:rPr>
          <w:rFonts w:ascii="仿宋" w:hAnsi="仿宋" w:eastAsia="仿宋" w:cs="Times New Roman"/>
          <w:sz w:val="32"/>
          <w:szCs w:val="32"/>
        </w:rPr>
        <w:t>按照</w:t>
      </w:r>
      <w:r>
        <w:rPr>
          <w:rFonts w:hint="eastAsia" w:ascii="仿宋" w:hAnsi="仿宋" w:eastAsia="仿宋" w:cs="Times New Roman"/>
          <w:sz w:val="32"/>
          <w:szCs w:val="32"/>
        </w:rPr>
        <w:t>《预算法》、</w:t>
      </w:r>
      <w:r>
        <w:rPr>
          <w:rFonts w:ascii="仿宋" w:hAnsi="仿宋" w:eastAsia="仿宋" w:cs="Times New Roman"/>
          <w:sz w:val="32"/>
          <w:szCs w:val="32"/>
        </w:rPr>
        <w:t>《地方预决算公开操作规程》和《河北省省级预算公开办法》</w:t>
      </w:r>
      <w:r>
        <w:rPr>
          <w:rFonts w:hint="eastAsia" w:ascii="仿宋" w:hAnsi="仿宋" w:eastAsia="仿宋" w:cs="Times New Roman"/>
          <w:sz w:val="32"/>
          <w:szCs w:val="32"/>
        </w:rPr>
        <w:t>规定</w:t>
      </w:r>
      <w:r>
        <w:rPr>
          <w:rFonts w:ascii="仿宋" w:hAnsi="仿宋" w:eastAsia="仿宋" w:cs="Times New Roman"/>
          <w:sz w:val="32"/>
          <w:szCs w:val="32"/>
        </w:rPr>
        <w:t>，现将</w:t>
      </w:r>
      <w:r>
        <w:rPr>
          <w:rFonts w:hint="eastAsia" w:ascii="仿宋" w:hAnsi="仿宋" w:eastAsia="仿宋" w:cs="Times New Roman"/>
          <w:sz w:val="32"/>
          <w:szCs w:val="32"/>
        </w:rPr>
        <w:t>隆尧县残联</w:t>
      </w:r>
      <w:r>
        <w:rPr>
          <w:rFonts w:ascii="仿宋" w:hAnsi="仿宋" w:eastAsia="仿宋" w:cs="Times New Roman"/>
          <w:sz w:val="32"/>
          <w:szCs w:val="32"/>
        </w:rPr>
        <w:t>20</w:t>
      </w:r>
      <w:r>
        <w:rPr>
          <w:rFonts w:hint="eastAsia" w:ascii="仿宋" w:hAnsi="仿宋" w:eastAsia="仿宋" w:cs="Times New Roman"/>
          <w:sz w:val="32"/>
          <w:szCs w:val="32"/>
          <w:lang w:val="en-US" w:eastAsia="zh-CN"/>
        </w:rPr>
        <w:t>20</w:t>
      </w:r>
      <w:r>
        <w:rPr>
          <w:rFonts w:ascii="仿宋" w:hAnsi="仿宋"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cs="宋体"/>
          <w:kern w:val="0"/>
          <w:sz w:val="32"/>
          <w:szCs w:val="32"/>
        </w:rPr>
        <w:t>办公室工作职责：负责日常事务工作，起草各类文件、报告；负责会议组织、对外接待、文电处理、督办、传真、统计、保密等理事会的日常事务；负责财务、资产、档案的管理、图文资料、办公自动化、安全保卫、综合治理、环境卫生，财务管理。指导各乡镇、社区残联的组织建设与社区残疾人工作。指导各专门残疾人协会开展日常工作。调查掌握残疾人状况，管理和发放残疾人证。</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教育就业部工作职责：促进残疾人教育，开展残疾人职业培训和实用技术培训；掌握残疾人劳动就业和待业登记情况；残疾人就业保障金的年审和征收；调查掌握全县贫困残疾人底数；对享受低保的重度残疾人实行生活补贴和护理补贴；对当年考入中高等院校的残疾学生和残疾人家庭子女实行一次性资助；对处于就业年龄的智力、精神和重度残疾人实行资助；对残疾人从事个体经营、自主创业、灵活就业的经营场所租赁、启动资金、设施设置补贴和小额贷款贴息。各种形式就业残疾人的社会保险缴费补贴和用人单位岗位补贴。扶持农村残疾人从事种植、养殖、手工业及其他形式生产劳动；奖励超比例安排残疾人就业的用人单位，以及为安排残疾人就业做出显著成绩的单位或个人；对从事公益性岗位就业、辅助性就业、灵活就业、收入达不到当地最低工资标准、生活确有困难的残疾人的救济补助；春节前对特困残疾人进行慰问；残疾人或家庭因病因灾等突发事件需救助的；处理残疾人就医、就学、就业方面及扶贫；协助部门解决残疾人社会保障和社会求助等工作。</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康复部工作职责：组织制定和实施残疾人康复工作计划；指导和协调残疾人康复机构的业务工作;指导残疾人辅助器具供应、服务；组织实施残疾人假肢装配、白内障复明、低视力、聋儿康复、康复工作指导；开展残疾预防工作，有计划地组织康复人才培训；负责残疾人康复需求的调查、摸底、建档工作。</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宣传维权部工作职责：组织制定并实施残疾人事业的宣传和维权、文体等工作，宣传国家发展残疾人事业的方针、政策；负责为残疾人提供精神文化产品；开展残疾人文化、体育及艺术活动；做好残疾人工作宣传报道,管理和发展残疾人文化、体育工作，宣传残疾人事业。做好残疾人燃油补贴申报和发放工作。</w:t>
      </w:r>
    </w:p>
    <w:p>
      <w:pPr>
        <w:widowControl/>
        <w:spacing w:line="580" w:lineRule="atLeast"/>
        <w:ind w:firstLine="640"/>
        <w:jc w:val="left"/>
        <w:rPr>
          <w:rFonts w:ascii="仿宋" w:hAnsi="仿宋" w:eastAsia="仿宋" w:cs="宋体"/>
          <w:kern w:val="0"/>
          <w:sz w:val="22"/>
        </w:rPr>
      </w:pPr>
      <w:r>
        <w:rPr>
          <w:rFonts w:hint="eastAsia" w:ascii="仿宋" w:hAnsi="仿宋" w:eastAsia="仿宋" w:cs="宋体"/>
          <w:kern w:val="0"/>
          <w:sz w:val="32"/>
          <w:szCs w:val="32"/>
        </w:rPr>
        <w:t>贯彻落实上级信访条例，负责残疾人法律法规体系的宣传，配合有关部门对法律法规执行情况进行检查、督促、为残疾人提供法律援助和服务，保障残疾人合法权益；负责残疾人的来信来访工作，协助有关部门解决残疾人的热点、难点问题。</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9"/>
        <w:tblW w:w="9729" w:type="dxa"/>
        <w:jc w:val="center"/>
        <w:tblInd w:w="-59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隆尧县残疾人联合会</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参公事业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隆尧县残疾人联合会</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186.95</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185.69</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val="en-US" w:eastAsia="zh-CN"/>
        </w:rPr>
        <w:t>1.26</w:t>
      </w:r>
      <w:r>
        <w:rPr>
          <w:rFonts w:hint="eastAsia" w:ascii="Times New Roman" w:hAnsi="Times New Roman" w:eastAsia="仿宋" w:cs="Times New Roman"/>
          <w:sz w:val="32"/>
          <w:szCs w:val="32"/>
        </w:rPr>
        <w:t>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收支预算总表支出栏、基本支出表、项目支出表按经济分类和支出功能分类科目编制，反映隆尧县残联年度部门预算中支出预算的总体情况。20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年部门支出预算为</w:t>
      </w:r>
      <w:r>
        <w:rPr>
          <w:rFonts w:hint="eastAsia" w:ascii="Times New Roman" w:hAnsi="Times New Roman" w:eastAsia="仿宋" w:cs="Times New Roman"/>
          <w:sz w:val="32"/>
          <w:szCs w:val="32"/>
          <w:lang w:val="en-US" w:eastAsia="zh-CN"/>
        </w:rPr>
        <w:t>186.95</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74.86</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68.96</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5.9</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112.09</w:t>
      </w:r>
      <w:r>
        <w:rPr>
          <w:rFonts w:hint="eastAsia" w:ascii="Times New Roman" w:hAnsi="Times New Roman" w:eastAsia="仿宋" w:cs="Times New Roman"/>
          <w:sz w:val="32"/>
          <w:szCs w:val="32"/>
        </w:rPr>
        <w:t>万元，主要为残疾人康复支出</w:t>
      </w:r>
      <w:r>
        <w:rPr>
          <w:rFonts w:hint="eastAsia" w:ascii="Times New Roman" w:hAnsi="Times New Roman" w:eastAsia="仿宋" w:cs="Times New Roman"/>
          <w:sz w:val="32"/>
          <w:szCs w:val="32"/>
          <w:lang w:val="en-US" w:eastAsia="zh-CN"/>
        </w:rPr>
        <w:t>41.98</w:t>
      </w:r>
      <w:r>
        <w:rPr>
          <w:rFonts w:hint="eastAsia" w:ascii="Times New Roman" w:hAnsi="Times New Roman" w:eastAsia="仿宋" w:cs="Times New Roman"/>
          <w:sz w:val="32"/>
          <w:szCs w:val="32"/>
        </w:rPr>
        <w:t>万元，残疾人教育就业扶贫和社会保障支出</w:t>
      </w:r>
      <w:r>
        <w:rPr>
          <w:rFonts w:hint="eastAsia" w:ascii="Times New Roman" w:hAnsi="Times New Roman" w:eastAsia="仿宋" w:cs="Times New Roman"/>
          <w:sz w:val="32"/>
          <w:szCs w:val="32"/>
          <w:lang w:val="en-US" w:eastAsia="zh-CN"/>
        </w:rPr>
        <w:t>29.7</w:t>
      </w:r>
      <w:r>
        <w:rPr>
          <w:rFonts w:hint="eastAsia" w:ascii="Times New Roman" w:hAnsi="Times New Roman" w:eastAsia="仿宋" w:cs="Times New Roman"/>
          <w:sz w:val="32"/>
          <w:szCs w:val="32"/>
        </w:rPr>
        <w:t>万元，残疾人法律维权及无障碍环境建设支出</w:t>
      </w:r>
      <w:r>
        <w:rPr>
          <w:rFonts w:hint="eastAsia" w:ascii="Times New Roman" w:hAnsi="Times New Roman" w:eastAsia="仿宋" w:cs="Times New Roman"/>
          <w:sz w:val="32"/>
          <w:szCs w:val="32"/>
          <w:lang w:val="en-US" w:eastAsia="zh-CN"/>
        </w:rPr>
        <w:t>15.4</w:t>
      </w:r>
      <w:r>
        <w:rPr>
          <w:rFonts w:hint="eastAsia" w:ascii="Times New Roman" w:hAnsi="Times New Roman" w:eastAsia="仿宋" w:cs="Times New Roman"/>
          <w:sz w:val="32"/>
          <w:szCs w:val="32"/>
        </w:rPr>
        <w:t>万元，残疾人宣传文体和志愿者助残支出</w:t>
      </w:r>
      <w:r>
        <w:rPr>
          <w:rFonts w:hint="eastAsia" w:ascii="Times New Roman" w:hAnsi="Times New Roman" w:eastAsia="仿宋" w:cs="Times New Roman"/>
          <w:sz w:val="32"/>
          <w:szCs w:val="32"/>
          <w:lang w:val="en-US" w:eastAsia="zh-CN"/>
        </w:rPr>
        <w:t>25.01</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val="en-US" w:eastAsia="zh-CN"/>
        </w:rPr>
        <w:t>。</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20</w:t>
      </w:r>
      <w:r>
        <w:rPr>
          <w:rFonts w:hint="eastAsia" w:ascii="Times New Roman" w:hAnsi="Times New Roman" w:eastAsia="仿宋" w:cs="Times New Roman"/>
          <w:color w:val="000000"/>
          <w:sz w:val="32"/>
          <w:szCs w:val="32"/>
        </w:rPr>
        <w:t>年部门预算收支安排</w:t>
      </w:r>
      <w:r>
        <w:rPr>
          <w:rFonts w:hint="eastAsia" w:ascii="Times New Roman" w:hAnsi="Times New Roman" w:eastAsia="仿宋" w:cs="Times New Roman"/>
          <w:color w:val="000000"/>
          <w:sz w:val="32"/>
          <w:szCs w:val="32"/>
          <w:lang w:val="en-US" w:eastAsia="zh-CN"/>
        </w:rPr>
        <w:t>186.95</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w:t>
      </w:r>
      <w:r>
        <w:rPr>
          <w:rFonts w:hint="eastAsia" w:ascii="Times New Roman" w:hAnsi="Times New Roman" w:eastAsia="仿宋" w:cs="Times New Roman"/>
          <w:sz w:val="32"/>
          <w:szCs w:val="32"/>
          <w:lang w:val="en-US" w:eastAsia="zh-CN"/>
        </w:rPr>
        <w:t>9</w:t>
      </w:r>
      <w:r>
        <w:rPr>
          <w:rFonts w:hint="eastAsia" w:ascii="Times New Roman" w:hAnsi="Times New Roman" w:eastAsia="仿宋" w:cs="Times New Roman"/>
          <w:sz w:val="32"/>
          <w:szCs w:val="32"/>
        </w:rPr>
        <w:t>年减少</w:t>
      </w:r>
      <w:r>
        <w:rPr>
          <w:rFonts w:hint="eastAsia" w:ascii="Times New Roman" w:hAnsi="Times New Roman" w:eastAsia="仿宋" w:cs="Times New Roman"/>
          <w:sz w:val="32"/>
          <w:szCs w:val="32"/>
          <w:lang w:val="en-US" w:eastAsia="zh-CN"/>
        </w:rPr>
        <w:t>33.85</w:t>
      </w:r>
      <w:r>
        <w:rPr>
          <w:rFonts w:hint="eastAsia" w:ascii="Times New Roman" w:hAnsi="Times New Roman" w:eastAsia="仿宋" w:cs="Times New Roman"/>
          <w:sz w:val="32"/>
          <w:szCs w:val="32"/>
        </w:rPr>
        <w:t>万元，其中：基本支出减少</w:t>
      </w:r>
      <w:r>
        <w:rPr>
          <w:rFonts w:hint="eastAsia" w:ascii="Times New Roman" w:hAnsi="Times New Roman" w:eastAsia="仿宋" w:cs="Times New Roman"/>
          <w:sz w:val="32"/>
          <w:szCs w:val="32"/>
          <w:lang w:val="en-US" w:eastAsia="zh-CN"/>
        </w:rPr>
        <w:t>18.64</w:t>
      </w:r>
      <w:r>
        <w:rPr>
          <w:rFonts w:hint="eastAsia" w:ascii="Times New Roman" w:hAnsi="Times New Roman" w:eastAsia="仿宋" w:cs="Times New Roman"/>
          <w:sz w:val="32"/>
          <w:szCs w:val="32"/>
        </w:rPr>
        <w:t>万元，主要</w:t>
      </w:r>
      <w:r>
        <w:rPr>
          <w:rFonts w:hint="eastAsia" w:ascii="Times New Roman" w:hAnsi="Times New Roman" w:eastAsia="仿宋" w:cs="Times New Roman"/>
          <w:sz w:val="32"/>
          <w:szCs w:val="32"/>
          <w:lang w:eastAsia="zh-CN"/>
        </w:rPr>
        <w:t>原因</w:t>
      </w:r>
      <w:r>
        <w:rPr>
          <w:rFonts w:hint="eastAsia" w:ascii="Times New Roman" w:hAnsi="Times New Roman" w:eastAsia="仿宋" w:cs="Times New Roman"/>
          <w:sz w:val="32"/>
          <w:szCs w:val="32"/>
        </w:rPr>
        <w:t>是减少了人员经费；项目支出减少</w:t>
      </w:r>
      <w:r>
        <w:rPr>
          <w:rFonts w:hint="eastAsia" w:ascii="Times New Roman" w:hAnsi="Times New Roman" w:eastAsia="仿宋" w:cs="Times New Roman"/>
          <w:sz w:val="32"/>
          <w:szCs w:val="32"/>
          <w:lang w:val="en-US" w:eastAsia="zh-CN"/>
        </w:rPr>
        <w:t>15.24</w:t>
      </w:r>
      <w:r>
        <w:rPr>
          <w:rFonts w:hint="eastAsia" w:ascii="Times New Roman" w:hAnsi="Times New Roman" w:eastAsia="仿宋" w:cs="Times New Roman"/>
          <w:sz w:val="32"/>
          <w:szCs w:val="32"/>
        </w:rPr>
        <w:t>万元，主要</w:t>
      </w:r>
      <w:r>
        <w:rPr>
          <w:rFonts w:hint="eastAsia" w:ascii="Times New Roman" w:hAnsi="Times New Roman" w:eastAsia="仿宋" w:cs="Times New Roman"/>
          <w:sz w:val="32"/>
          <w:szCs w:val="32"/>
          <w:lang w:eastAsia="zh-CN"/>
        </w:rPr>
        <w:t>原因是</w:t>
      </w:r>
      <w:r>
        <w:rPr>
          <w:rFonts w:hint="eastAsia" w:ascii="Times New Roman" w:hAnsi="Times New Roman" w:eastAsia="仿宋" w:cs="Times New Roman"/>
          <w:sz w:val="32"/>
          <w:szCs w:val="32"/>
        </w:rPr>
        <w:t>中央彩票公益金。</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年，我部门机关运行经费共计安排</w:t>
      </w:r>
      <w:r>
        <w:rPr>
          <w:rFonts w:hint="eastAsia" w:ascii="Times New Roman" w:hAnsi="Times New Roman" w:eastAsia="仿宋" w:cs="Times New Roman"/>
          <w:sz w:val="32"/>
          <w:szCs w:val="32"/>
          <w:lang w:val="en-US" w:eastAsia="zh-CN"/>
        </w:rPr>
        <w:t>5.9</w:t>
      </w:r>
      <w:r>
        <w:rPr>
          <w:rFonts w:hint="eastAsia" w:ascii="Times New Roman" w:hAnsi="Times New Roman" w:eastAsia="仿宋" w:cs="Times New Roman"/>
          <w:sz w:val="32"/>
          <w:szCs w:val="32"/>
        </w:rPr>
        <w:t>万元，主要用于保证机关正常运转的办公及印刷费、邮电费、差旅费、福利费、办公用房水电费、办公用房取暖费、日常维修费、办公楼物业管理费、公务车运行维护费等支出。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hint="default" w:ascii="Times New Roman" w:hAnsi="Times New Roman" w:eastAsia="仿宋" w:cs="Times New Roman"/>
          <w:sz w:val="32"/>
          <w:szCs w:val="32"/>
          <w:lang w:val="en-US"/>
        </w:rPr>
      </w:pPr>
      <w:r>
        <w:rPr>
          <w:rFonts w:hint="eastAsia"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年，我部门财政拨款“三公”经费预算安排1.</w:t>
      </w: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万元，其中：因公出国（境）费0万元；公务用车购置及运维费1.</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万元（其中：公务用车购置费0万元，公务用车运行维护费1.</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较上年减少</w:t>
      </w:r>
      <w:r>
        <w:rPr>
          <w:rFonts w:hint="eastAsia" w:ascii="Times New Roman" w:hAnsi="Times New Roman" w:eastAsia="仿宋" w:cs="Times New Roman"/>
          <w:sz w:val="32"/>
          <w:szCs w:val="32"/>
        </w:rPr>
        <w:t>0.</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主要是公务用车运行维护费压缩开支的结果</w:t>
      </w:r>
      <w:bookmarkStart w:id="4" w:name="_GoBack"/>
      <w:bookmarkEnd w:id="4"/>
      <w:r>
        <w:rPr>
          <w:rFonts w:hint="eastAsia" w:ascii="Times New Roman" w:hAnsi="Times New Roman" w:eastAsia="仿宋" w:cs="Times New Roman"/>
          <w:sz w:val="32"/>
          <w:szCs w:val="32"/>
          <w:lang w:val="en-US" w:eastAsia="zh-CN"/>
        </w:rPr>
        <w:t>；公务接待费0.3万元，较上年减少0.1万元，主要原因是压缩公务接待费的结果。</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五、绩效预算信息</w:t>
      </w:r>
    </w:p>
    <w:p>
      <w:pPr>
        <w:autoSpaceDE w:val="0"/>
        <w:autoSpaceDN w:val="0"/>
        <w:adjustRightInd w:val="0"/>
        <w:ind w:left="198" w:firstLine="643" w:firstLineChars="200"/>
        <w:jc w:val="left"/>
        <w:rPr>
          <w:rFonts w:ascii="Times New Roman" w:hAnsi="Times New Roman" w:eastAsia="仿宋" w:cs="Times New Roman"/>
          <w:b/>
          <w:sz w:val="32"/>
          <w:szCs w:val="32"/>
        </w:rPr>
      </w:pPr>
      <w:bookmarkStart w:id="0" w:name="_Toc471398463"/>
      <w:r>
        <w:rPr>
          <w:rFonts w:ascii="Times New Roman" w:hAnsi="Times New Roman" w:eastAsia="仿宋" w:cs="Times New Roman"/>
          <w:b/>
          <w:sz w:val="32"/>
          <w:szCs w:val="32"/>
        </w:rPr>
        <w:t>总体绩效目标：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1"/>
        <w:jc w:val="left"/>
        <w:rPr>
          <w:rFonts w:hint="eastAsia" w:ascii="仿宋" w:hAnsi="仿宋" w:eastAsia="仿宋" w:cs="宋体"/>
          <w:sz w:val="32"/>
          <w:szCs w:val="32"/>
        </w:rPr>
      </w:pPr>
      <w:r>
        <w:rPr>
          <w:rFonts w:hint="eastAsia" w:ascii="仿宋" w:hAnsi="仿宋" w:eastAsia="仿宋" w:cs="宋体"/>
          <w:sz w:val="32"/>
          <w:szCs w:val="32"/>
        </w:rPr>
        <w:t>1、加强康复人才培养工作，建立适合我县实际的康复人才培养工作机制和培养模式。加强康复机构管理，使其在建设规模、机构职能、设备设施和人员配置等方面更加规范完善。</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1"/>
        <w:jc w:val="left"/>
        <w:rPr>
          <w:rFonts w:hint="eastAsia" w:ascii="仿宋" w:hAnsi="仿宋" w:eastAsia="仿宋" w:cs="宋体"/>
          <w:sz w:val="32"/>
          <w:szCs w:val="32"/>
        </w:rPr>
      </w:pPr>
      <w:r>
        <w:rPr>
          <w:rFonts w:hint="eastAsia" w:ascii="仿宋" w:hAnsi="仿宋" w:eastAsia="仿宋" w:cs="宋体"/>
          <w:sz w:val="32"/>
          <w:szCs w:val="32"/>
        </w:rPr>
        <w:t>2、组织实施中国残联阳光助学计划——残疾人事业专项彩票公益金助学项目，为家庭经济困难的残疾儿童提供学前教育资助。加大手语、盲文培训和推广力度，提高特殊语言文字服务能力。</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1"/>
        <w:jc w:val="left"/>
        <w:rPr>
          <w:rFonts w:hint="eastAsia" w:ascii="仿宋" w:hAnsi="仿宋" w:eastAsia="仿宋" w:cs="宋体"/>
          <w:sz w:val="32"/>
          <w:szCs w:val="32"/>
        </w:rPr>
      </w:pPr>
      <w:r>
        <w:rPr>
          <w:rFonts w:hint="eastAsia" w:ascii="仿宋" w:hAnsi="仿宋" w:eastAsia="仿宋" w:cs="宋体"/>
          <w:sz w:val="32"/>
          <w:szCs w:val="32"/>
        </w:rPr>
        <w:t>3、完善残疾人就业和培训实名制统计及动态管理工作。加强和规范残疾人就业服务窗口建设，举办残疾人就业洽谈会。</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1"/>
        <w:jc w:val="left"/>
        <w:rPr>
          <w:rFonts w:hint="eastAsia" w:ascii="仿宋" w:hAnsi="仿宋" w:eastAsia="仿宋" w:cs="宋体"/>
          <w:sz w:val="32"/>
          <w:szCs w:val="32"/>
        </w:rPr>
      </w:pPr>
      <w:r>
        <w:rPr>
          <w:rFonts w:hint="eastAsia" w:ascii="仿宋" w:hAnsi="仿宋" w:eastAsia="仿宋" w:cs="宋体"/>
          <w:sz w:val="32"/>
          <w:szCs w:val="32"/>
        </w:rPr>
        <w:t>4、做好残疾人培训的宣传、组织工作，为省、市残疾人培训输送优秀学员，残疾人培训就业率达到80%以上。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1"/>
        <w:jc w:val="left"/>
        <w:rPr>
          <w:rFonts w:hint="eastAsia" w:ascii="仿宋" w:hAnsi="仿宋" w:eastAsia="仿宋" w:cs="宋体"/>
          <w:sz w:val="32"/>
          <w:szCs w:val="32"/>
        </w:rPr>
      </w:pPr>
      <w:r>
        <w:rPr>
          <w:rFonts w:hint="eastAsia" w:ascii="仿宋" w:hAnsi="仿宋" w:eastAsia="仿宋" w:cs="宋体"/>
          <w:sz w:val="32"/>
          <w:szCs w:val="32"/>
        </w:rPr>
        <w:t>5、建立一个示范性扶贫基地，完成农村残疾人实用技术培训500人次。组织落实农村基层组织助残扶贫工程、万村千乡市场工程助残扶贫项目和农家书屋残疾人就业等扶贫工程。</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1"/>
        <w:jc w:val="left"/>
        <w:rPr>
          <w:rFonts w:hint="eastAsia" w:ascii="仿宋" w:hAnsi="仿宋" w:eastAsia="仿宋" w:cs="宋体"/>
          <w:sz w:val="32"/>
          <w:szCs w:val="32"/>
        </w:rPr>
      </w:pPr>
      <w:r>
        <w:rPr>
          <w:rFonts w:hint="eastAsia" w:ascii="仿宋" w:hAnsi="仿宋" w:eastAsia="仿宋" w:cs="宋体"/>
          <w:sz w:val="32"/>
          <w:szCs w:val="32"/>
        </w:rPr>
        <w:t>6、加强残疾人体育健身示范点建设，举办残疾人体育健身指导员培训班，培养残疾人体育健身师资力量。</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1"/>
        <w:jc w:val="left"/>
        <w:rPr>
          <w:rFonts w:ascii="仿宋" w:hAnsi="仿宋" w:eastAsia="仿宋" w:cs="宋体"/>
          <w:sz w:val="32"/>
          <w:szCs w:val="32"/>
        </w:rPr>
      </w:pPr>
      <w:r>
        <w:rPr>
          <w:rFonts w:hint="eastAsia" w:ascii="仿宋" w:hAnsi="仿宋" w:eastAsia="仿宋" w:cs="宋体"/>
          <w:sz w:val="32"/>
          <w:szCs w:val="32"/>
        </w:rPr>
        <w:t>7、加强残疾人法律救助工作站规范化建设，做到有专职人员、有无障碍的工作场地、有为残、疾人提供法律救助服务的合作单位、有工作经费、有登记统计、有工作制度和职责，逐步建立残疾人法律救助工作联络站。</w:t>
      </w:r>
    </w:p>
    <w:p>
      <w:pPr>
        <w:autoSpaceDE w:val="0"/>
        <w:autoSpaceDN w:val="0"/>
        <w:adjustRightInd w:val="0"/>
        <w:ind w:left="198" w:firstLine="643" w:firstLineChars="200"/>
        <w:jc w:val="left"/>
        <w:rPr>
          <w:rFonts w:ascii="Times New Roman" w:hAnsi="Times New Roman" w:eastAsia="仿宋" w:cs="Times New Roman"/>
          <w:b/>
          <w:sz w:val="32"/>
          <w:szCs w:val="32"/>
        </w:rPr>
      </w:pPr>
      <w:r>
        <w:rPr>
          <w:rFonts w:hint="eastAsia" w:ascii="Times New Roman" w:hAnsi="Times New Roman" w:eastAsia="仿宋" w:cs="Times New Roman"/>
          <w:b/>
          <w:sz w:val="32"/>
          <w:szCs w:val="32"/>
        </w:rPr>
        <w:t>职责分类绩效目标：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jc w:val="left"/>
        <w:rPr>
          <w:rFonts w:hint="eastAsia" w:ascii="仿宋" w:hAnsi="仿宋" w:eastAsia="仿宋" w:cs="宋体"/>
          <w:sz w:val="32"/>
          <w:szCs w:val="32"/>
        </w:rPr>
      </w:pPr>
      <w:r>
        <w:rPr>
          <w:rFonts w:hint="eastAsia" w:ascii="Times New Roman" w:hAnsi="Times New Roman" w:eastAsia="仿宋" w:cs="Times New Roman"/>
          <w:sz w:val="32"/>
          <w:szCs w:val="32"/>
        </w:rPr>
        <w:t>1、</w:t>
      </w:r>
      <w:r>
        <w:rPr>
          <w:rFonts w:hint="eastAsia" w:ascii="仿宋" w:hAnsi="仿宋" w:eastAsia="仿宋" w:cs="宋体"/>
          <w:sz w:val="32"/>
          <w:szCs w:val="32"/>
        </w:rPr>
        <w:t>残疾人法律维权：维护残疾人合法权益，对特困残疾人进行救助，促进社会稳定。保障残疾人出行便利，融入社会。</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jc w:val="left"/>
        <w:rPr>
          <w:rFonts w:hint="eastAsia" w:ascii="仿宋" w:hAnsi="仿宋" w:eastAsia="仿宋" w:cs="宋体"/>
          <w:sz w:val="32"/>
          <w:szCs w:val="32"/>
        </w:rPr>
      </w:pPr>
      <w:r>
        <w:rPr>
          <w:rFonts w:hint="eastAsia" w:ascii="仿宋" w:hAnsi="仿宋" w:eastAsia="仿宋" w:cs="宋体"/>
          <w:sz w:val="32"/>
          <w:szCs w:val="32"/>
        </w:rPr>
        <w:t>2、残疾人服务：逐步实现残疾人“人人享有基本康复服务”，促进残疾人增收，保障贫困重度残疾人基本生活，为就业年龄段智力、精神、重度残疾人提供护理补贴。对当年考入高等学校的残疾大学生及残疾人家庭子女提供资助，提高残疾人就业率。媒体宣传广泛深入，残疾人文体生活丰富，残疾人文化体育比赛成绩优良，助残志愿者与残疾人对接良好。</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jc w:val="left"/>
        <w:rPr>
          <w:rFonts w:ascii="仿宋" w:hAnsi="仿宋" w:eastAsia="仿宋" w:cs="宋体"/>
          <w:sz w:val="32"/>
          <w:szCs w:val="32"/>
        </w:rPr>
      </w:pPr>
      <w:r>
        <w:rPr>
          <w:rFonts w:hint="eastAsia" w:ascii="仿宋" w:hAnsi="仿宋" w:eastAsia="仿宋" w:cs="宋体"/>
          <w:sz w:val="32"/>
          <w:szCs w:val="32"/>
        </w:rPr>
        <w:t>3、残疾人综合业务管理：残疾残疾人就业保障金稳定增收，残疾残疾人稳定就业。</w:t>
      </w:r>
    </w:p>
    <w:p>
      <w:pPr>
        <w:autoSpaceDE w:val="0"/>
        <w:autoSpaceDN w:val="0"/>
        <w:adjustRightInd w:val="0"/>
        <w:ind w:left="198" w:firstLine="643" w:firstLineChars="200"/>
        <w:jc w:val="left"/>
        <w:rPr>
          <w:rFonts w:hint="eastAsia" w:ascii="Times New Roman" w:hAnsi="Times New Roman" w:eastAsia="仿宋" w:cs="Times New Roman"/>
          <w:b/>
          <w:sz w:val="32"/>
          <w:szCs w:val="32"/>
        </w:rPr>
      </w:pPr>
      <w:r>
        <w:rPr>
          <w:rFonts w:hint="eastAsia" w:ascii="Times New Roman" w:hAnsi="Times New Roman" w:eastAsia="仿宋" w:cs="Times New Roman"/>
          <w:b/>
          <w:sz w:val="32"/>
          <w:szCs w:val="32"/>
        </w:rPr>
        <w:t>部门职责及工作活动绩效目标指标：</w:t>
      </w:r>
      <w:bookmarkEnd w:id="0"/>
    </w:p>
    <w:p>
      <w:pPr>
        <w:autoSpaceDE w:val="0"/>
        <w:autoSpaceDN w:val="0"/>
        <w:adjustRightInd w:val="0"/>
        <w:ind w:left="198" w:firstLine="643" w:firstLineChars="200"/>
        <w:jc w:val="left"/>
        <w:rPr>
          <w:rFonts w:ascii="Times New Roman" w:hAnsi="Times New Roman" w:eastAsia="仿宋" w:cs="Times New Roman"/>
          <w:b/>
          <w:sz w:val="32"/>
          <w:szCs w:val="32"/>
        </w:rPr>
      </w:pPr>
    </w:p>
    <w:p>
      <w:pPr>
        <w:jc w:val="center"/>
        <w:outlineLvl w:val="0"/>
        <w:rPr>
          <w:rFonts w:hint="eastAsia" w:ascii="方正小标宋_GBK" w:eastAsia="方正小标宋_GBK"/>
          <w:color w:val="FFFFFF"/>
          <w:sz w:val="32"/>
        </w:rPr>
      </w:pPr>
      <w:bookmarkStart w:id="1" w:name="_Toc535404678"/>
      <w:r>
        <w:rPr>
          <w:rFonts w:hint="eastAsia" w:ascii="方正小标宋_GBK" w:eastAsia="方正小标宋_GBK"/>
          <w:sz w:val="32"/>
        </w:rPr>
        <w:t>部门职责-工作活动绩效目标</w:t>
      </w:r>
      <w:r>
        <w:rPr>
          <w:rStyle w:val="8"/>
          <w:rFonts w:ascii="方正小标宋_GBK" w:eastAsia="方正小标宋_GBK"/>
          <w:color w:val="FFFFFF"/>
          <w:sz w:val="32"/>
        </w:rPr>
        <w:sym w:font="Symbol" w:char="F020"/>
      </w:r>
      <w:bookmarkEnd w:id="1"/>
    </w:p>
    <w:p>
      <w:pPr>
        <w:jc w:val="center"/>
        <w:outlineLvl w:val="0"/>
        <w:rPr>
          <w:rFonts w:hint="eastAsia" w:ascii="方正小标宋_GBK" w:eastAsia="方正小标宋_GBK"/>
          <w:color w:val="FFFFFF"/>
          <w:sz w:val="32"/>
        </w:rPr>
      </w:pPr>
    </w:p>
    <w:p>
      <w:pPr>
        <w:jc w:val="center"/>
        <w:outlineLvl w:val="0"/>
        <w:rPr>
          <w:rFonts w:hint="eastAsia" w:ascii="方正小标宋_GBK" w:eastAsia="方正小标宋_GBK"/>
          <w:color w:val="FFFFFF"/>
          <w:sz w:val="32"/>
        </w:rPr>
      </w:pPr>
    </w:p>
    <w:p>
      <w:pPr>
        <w:jc w:val="center"/>
        <w:outlineLvl w:val="0"/>
        <w:rPr>
          <w:rFonts w:ascii="方正小标宋_GBK" w:eastAsia="方正小标宋_GBK"/>
          <w:color w:val="FFFFFF"/>
          <w:sz w:val="32"/>
        </w:rPr>
      </w:pPr>
    </w:p>
    <w:tbl>
      <w:tblPr>
        <w:tblStyle w:val="9"/>
        <w:tblW w:w="1393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762</w:t>
            </w:r>
            <w:r>
              <w:rPr>
                <w:rFonts w:hint="eastAsia" w:ascii="方正小标宋_GBK" w:eastAsia="方正小标宋_GBK"/>
                <w:sz w:val="24"/>
              </w:rPr>
              <w:t>隆尧县残联</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一、残疾人服务</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ascii="方正书宋_GBK" w:eastAsia="方正书宋_GBK"/>
              </w:rPr>
              <w:t>1</w:t>
            </w:r>
            <w:r>
              <w:rPr>
                <w:rFonts w:hint="eastAsia" w:ascii="方正书宋_GBK" w:eastAsia="方正书宋_GBK"/>
                <w:lang w:val="en-US" w:eastAsia="zh-CN"/>
              </w:rPr>
              <w:t>12.09</w:t>
            </w:r>
          </w:p>
        </w:tc>
        <w:tc>
          <w:tcPr>
            <w:tcW w:w="2976" w:type="dxa"/>
            <w:shd w:val="clear" w:color="auto" w:fill="auto"/>
            <w:vAlign w:val="center"/>
          </w:tcPr>
          <w:p>
            <w:pPr>
              <w:spacing w:line="300" w:lineRule="exact"/>
              <w:jc w:val="left"/>
              <w:rPr>
                <w:rFonts w:ascii="仿宋" w:hAnsi="仿宋" w:eastAsia="仿宋"/>
              </w:rPr>
            </w:pPr>
            <w:r>
              <w:rPr>
                <w:rFonts w:hint="eastAsia" w:ascii="仿宋" w:hAnsi="仿宋" w:eastAsia="仿宋"/>
              </w:rPr>
              <w:t>健全残疾人法律服务体系，切实保障残疾人合法权益；全面推进城乡无障碍环境建设；开展康复、扶贫、教育培训等活动，直接为残疾人服务</w:t>
            </w:r>
          </w:p>
        </w:tc>
        <w:tc>
          <w:tcPr>
            <w:tcW w:w="2976" w:type="dxa"/>
            <w:shd w:val="clear" w:color="auto" w:fill="auto"/>
            <w:vAlign w:val="center"/>
          </w:tcPr>
          <w:p>
            <w:pPr>
              <w:spacing w:line="300" w:lineRule="exact"/>
              <w:jc w:val="left"/>
              <w:rPr>
                <w:rFonts w:ascii="仿宋" w:hAnsi="仿宋" w:eastAsia="仿宋"/>
              </w:rPr>
            </w:pPr>
            <w:r>
              <w:rPr>
                <w:rFonts w:hint="eastAsia" w:ascii="仿宋" w:hAnsi="仿宋" w:eastAsia="仿宋"/>
              </w:rPr>
              <w:t>保障残疾人的诉求能够得到及时解决，保障残疾人出行权利；逐步实现残疾人</w:t>
            </w:r>
            <w:r>
              <w:rPr>
                <w:rFonts w:hint="cs" w:ascii="仿宋" w:hAnsi="仿宋" w:eastAsia="仿宋"/>
              </w:rPr>
              <w:t>“</w:t>
            </w:r>
            <w:r>
              <w:rPr>
                <w:rFonts w:hint="eastAsia" w:ascii="仿宋" w:hAnsi="仿宋" w:eastAsia="仿宋"/>
              </w:rPr>
              <w:t>人人享有康复服务</w:t>
            </w:r>
            <w:r>
              <w:rPr>
                <w:rFonts w:hint="cs" w:ascii="仿宋" w:hAnsi="仿宋" w:eastAsia="仿宋"/>
              </w:rPr>
              <w:t>”</w:t>
            </w:r>
            <w:r>
              <w:rPr>
                <w:rFonts w:hint="eastAsia" w:ascii="仿宋" w:hAnsi="仿宋" w:eastAsia="仿宋"/>
              </w:rPr>
              <w:t>，保障贫困和重度残疾人基本生活，提高残疾儿童义务教育入学率和残疾人就业率，丰富残疾人文体生活</w:t>
            </w:r>
          </w:p>
        </w:tc>
        <w:tc>
          <w:tcPr>
            <w:tcW w:w="1417" w:type="dxa"/>
            <w:shd w:val="clear" w:color="auto" w:fill="auto"/>
            <w:vAlign w:val="center"/>
          </w:tcPr>
          <w:p>
            <w:pPr>
              <w:spacing w:line="300" w:lineRule="exact"/>
              <w:jc w:val="left"/>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、残疾人法律维权及无障碍环境建设</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38.91</w:t>
            </w:r>
          </w:p>
        </w:tc>
        <w:tc>
          <w:tcPr>
            <w:tcW w:w="2976" w:type="dxa"/>
            <w:shd w:val="clear" w:color="auto" w:fill="auto"/>
            <w:vAlign w:val="center"/>
          </w:tcPr>
          <w:p>
            <w:pPr>
              <w:spacing w:line="300" w:lineRule="exact"/>
              <w:jc w:val="left"/>
              <w:rPr>
                <w:rFonts w:hint="eastAsia" w:ascii="仿宋" w:hAnsi="仿宋" w:eastAsia="仿宋"/>
              </w:rPr>
            </w:pPr>
            <w:r>
              <w:rPr>
                <w:rFonts w:hint="eastAsia" w:ascii="仿宋" w:hAnsi="仿宋" w:eastAsia="仿宋"/>
              </w:rPr>
              <w:t>接待残疾人来信来访，处理残疾人维权案件，为有需求的残疾人提供法律援助和临时救助；推动无障碍环境建设，方便残疾人生活和参与社会活动。</w:t>
            </w:r>
          </w:p>
        </w:tc>
        <w:tc>
          <w:tcPr>
            <w:tcW w:w="2976" w:type="dxa"/>
            <w:shd w:val="clear" w:color="auto" w:fill="auto"/>
            <w:vAlign w:val="center"/>
          </w:tcPr>
          <w:p>
            <w:pPr>
              <w:spacing w:line="300" w:lineRule="exact"/>
              <w:jc w:val="left"/>
              <w:rPr>
                <w:rFonts w:hint="eastAsia" w:ascii="仿宋" w:hAnsi="仿宋" w:eastAsia="仿宋"/>
              </w:rPr>
            </w:pPr>
            <w:r>
              <w:rPr>
                <w:rFonts w:hint="eastAsia" w:ascii="仿宋" w:hAnsi="仿宋" w:eastAsia="仿宋"/>
              </w:rPr>
              <w:t>维护残疾人合法权益，对特困残疾人进行救助，对有需求的贫困残疾人家庭进行无障碍改造促进社会和谐稳定。</w:t>
            </w:r>
          </w:p>
        </w:tc>
        <w:tc>
          <w:tcPr>
            <w:tcW w:w="1417" w:type="dxa"/>
            <w:shd w:val="clear" w:color="auto" w:fill="auto"/>
            <w:vAlign w:val="center"/>
          </w:tcPr>
          <w:p>
            <w:pPr>
              <w:spacing w:line="300" w:lineRule="exact"/>
              <w:jc w:val="center"/>
              <w:rPr>
                <w:rFonts w:ascii="仿宋" w:hAnsi="仿宋" w:eastAsia="仿宋"/>
              </w:rPr>
            </w:pPr>
            <w:r>
              <w:rPr>
                <w:rFonts w:hint="eastAsia" w:ascii="仿宋" w:hAnsi="仿宋" w:eastAsia="仿宋"/>
              </w:rPr>
              <w:t>实际救助的上访特困残疾人占全部上访特困残疾人总数的比率</w:t>
            </w:r>
          </w:p>
        </w:tc>
        <w:tc>
          <w:tcPr>
            <w:tcW w:w="737"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90%</w:t>
            </w:r>
          </w:p>
        </w:tc>
        <w:tc>
          <w:tcPr>
            <w:tcW w:w="737"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80%</w:t>
            </w:r>
          </w:p>
        </w:tc>
        <w:tc>
          <w:tcPr>
            <w:tcW w:w="737"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、残疾人康复</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41.98</w:t>
            </w:r>
          </w:p>
        </w:tc>
        <w:tc>
          <w:tcPr>
            <w:tcW w:w="2976" w:type="dxa"/>
            <w:shd w:val="clear" w:color="auto" w:fill="auto"/>
            <w:vAlign w:val="center"/>
          </w:tcPr>
          <w:p>
            <w:pPr>
              <w:spacing w:line="300" w:lineRule="exact"/>
              <w:jc w:val="left"/>
              <w:rPr>
                <w:rFonts w:hint="eastAsia" w:ascii="仿宋" w:hAnsi="仿宋" w:eastAsia="仿宋"/>
              </w:rPr>
            </w:pPr>
            <w:r>
              <w:rPr>
                <w:rFonts w:hint="eastAsia" w:ascii="仿宋" w:hAnsi="仿宋" w:eastAsia="仿宋"/>
              </w:rPr>
              <w:t>加强残疾人康复设施、机构建设，实施康复重点项目</w:t>
            </w:r>
            <w:r>
              <w:rPr>
                <w:rFonts w:ascii="仿宋" w:hAnsi="仿宋" w:eastAsia="仿宋"/>
              </w:rPr>
              <w:t>,</w:t>
            </w:r>
            <w:r>
              <w:rPr>
                <w:rFonts w:hint="eastAsia" w:ascii="仿宋" w:hAnsi="仿宋" w:eastAsia="仿宋"/>
              </w:rPr>
              <w:t>为贫困残疾人、重度残疾人、残疾儿童、农村残疾人提供基本的康复服务。</w:t>
            </w:r>
          </w:p>
        </w:tc>
        <w:tc>
          <w:tcPr>
            <w:tcW w:w="2976" w:type="dxa"/>
            <w:shd w:val="clear" w:color="auto" w:fill="auto"/>
            <w:vAlign w:val="center"/>
          </w:tcPr>
          <w:p>
            <w:pPr>
              <w:spacing w:line="300" w:lineRule="exact"/>
              <w:jc w:val="left"/>
              <w:rPr>
                <w:rFonts w:hint="eastAsia" w:ascii="仿宋" w:hAnsi="仿宋" w:eastAsia="仿宋"/>
              </w:rPr>
            </w:pPr>
            <w:r>
              <w:rPr>
                <w:rFonts w:hint="eastAsia" w:ascii="仿宋" w:hAnsi="仿宋" w:eastAsia="仿宋"/>
              </w:rPr>
              <w:t>逐步实现残疾人</w:t>
            </w:r>
            <w:r>
              <w:rPr>
                <w:rFonts w:hint="cs" w:ascii="仿宋" w:hAnsi="仿宋" w:eastAsia="仿宋"/>
              </w:rPr>
              <w:t>“</w:t>
            </w:r>
            <w:r>
              <w:rPr>
                <w:rFonts w:hint="eastAsia" w:ascii="仿宋" w:hAnsi="仿宋" w:eastAsia="仿宋"/>
              </w:rPr>
              <w:t>人人享有基本康复服务</w:t>
            </w:r>
            <w:r>
              <w:rPr>
                <w:rFonts w:hint="cs" w:ascii="仿宋" w:hAnsi="仿宋" w:eastAsia="仿宋"/>
              </w:rPr>
              <w:t>”</w:t>
            </w:r>
          </w:p>
        </w:tc>
        <w:tc>
          <w:tcPr>
            <w:tcW w:w="1417" w:type="dxa"/>
            <w:shd w:val="clear" w:color="auto" w:fill="auto"/>
            <w:vAlign w:val="center"/>
          </w:tcPr>
          <w:p>
            <w:pPr>
              <w:spacing w:line="300" w:lineRule="exact"/>
              <w:jc w:val="center"/>
              <w:rPr>
                <w:rFonts w:ascii="仿宋" w:hAnsi="仿宋" w:eastAsia="仿宋"/>
              </w:rPr>
            </w:pPr>
            <w:r>
              <w:rPr>
                <w:rFonts w:hint="eastAsia" w:ascii="仿宋" w:hAnsi="仿宋" w:eastAsia="仿宋"/>
              </w:rPr>
              <w:t>残疾人通过适配辅助器具改善生存生活状况满意程度</w:t>
            </w:r>
          </w:p>
        </w:tc>
        <w:tc>
          <w:tcPr>
            <w:tcW w:w="737"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90%</w:t>
            </w:r>
          </w:p>
        </w:tc>
        <w:tc>
          <w:tcPr>
            <w:tcW w:w="737"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70%</w:t>
            </w:r>
          </w:p>
        </w:tc>
        <w:tc>
          <w:tcPr>
            <w:tcW w:w="737"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、残疾人教育就业扶贫和社会保障</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29.7</w:t>
            </w:r>
          </w:p>
        </w:tc>
        <w:tc>
          <w:tcPr>
            <w:tcW w:w="2976" w:type="dxa"/>
            <w:shd w:val="clear" w:color="auto" w:fill="auto"/>
            <w:vAlign w:val="center"/>
          </w:tcPr>
          <w:p>
            <w:pPr>
              <w:spacing w:line="300" w:lineRule="exact"/>
              <w:jc w:val="left"/>
              <w:rPr>
                <w:rFonts w:hint="eastAsia" w:ascii="仿宋" w:hAnsi="仿宋" w:eastAsia="仿宋"/>
              </w:rPr>
            </w:pPr>
            <w:r>
              <w:rPr>
                <w:rFonts w:hint="eastAsia" w:ascii="仿宋" w:hAnsi="仿宋" w:eastAsia="仿宋"/>
              </w:rPr>
              <w:t>加强农村残疾人扶贫开发，实施精准扶贫；对各类残疾人实施职业技能教育和培训，对当年考入高等学校残疾大学生及残疾人家庭子女实施资助。</w:t>
            </w:r>
          </w:p>
        </w:tc>
        <w:tc>
          <w:tcPr>
            <w:tcW w:w="2976" w:type="dxa"/>
            <w:shd w:val="clear" w:color="auto" w:fill="auto"/>
            <w:vAlign w:val="center"/>
          </w:tcPr>
          <w:p>
            <w:pPr>
              <w:spacing w:line="300" w:lineRule="exact"/>
              <w:jc w:val="left"/>
              <w:rPr>
                <w:rFonts w:hint="eastAsia" w:ascii="仿宋" w:hAnsi="仿宋" w:eastAsia="仿宋"/>
              </w:rPr>
            </w:pPr>
            <w:r>
              <w:rPr>
                <w:rFonts w:hint="eastAsia" w:ascii="仿宋" w:hAnsi="仿宋" w:eastAsia="仿宋"/>
              </w:rPr>
              <w:t>促进残疾人增收致富；提高残疾人就业率；确保考入高等学校的贫困残疾学生及残疾人家庭子女基本生活</w:t>
            </w:r>
          </w:p>
        </w:tc>
        <w:tc>
          <w:tcPr>
            <w:tcW w:w="1417" w:type="dxa"/>
            <w:shd w:val="clear" w:color="auto" w:fill="auto"/>
            <w:vAlign w:val="center"/>
          </w:tcPr>
          <w:p>
            <w:pPr>
              <w:spacing w:line="300" w:lineRule="exact"/>
              <w:jc w:val="center"/>
              <w:rPr>
                <w:rFonts w:ascii="仿宋" w:hAnsi="仿宋" w:eastAsia="仿宋"/>
              </w:rPr>
            </w:pPr>
            <w:r>
              <w:rPr>
                <w:rFonts w:hint="eastAsia" w:ascii="仿宋" w:hAnsi="仿宋" w:eastAsia="仿宋"/>
              </w:rPr>
              <w:t>通过培训已实现就业人数占已接受培训人数的比例</w:t>
            </w:r>
          </w:p>
        </w:tc>
        <w:tc>
          <w:tcPr>
            <w:tcW w:w="737"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85%</w:t>
            </w:r>
          </w:p>
        </w:tc>
        <w:tc>
          <w:tcPr>
            <w:tcW w:w="737"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75%</w:t>
            </w:r>
          </w:p>
        </w:tc>
        <w:tc>
          <w:tcPr>
            <w:tcW w:w="737"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、残疾人宣传文体和志愿者助残</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25.01</w:t>
            </w:r>
          </w:p>
        </w:tc>
        <w:tc>
          <w:tcPr>
            <w:tcW w:w="2976" w:type="dxa"/>
            <w:shd w:val="clear" w:color="auto" w:fill="auto"/>
            <w:vAlign w:val="center"/>
          </w:tcPr>
          <w:p>
            <w:pPr>
              <w:spacing w:line="300" w:lineRule="exact"/>
              <w:jc w:val="left"/>
              <w:rPr>
                <w:rFonts w:hint="eastAsia" w:ascii="仿宋" w:hAnsi="仿宋" w:eastAsia="仿宋"/>
              </w:rPr>
            </w:pPr>
            <w:r>
              <w:rPr>
                <w:rFonts w:hint="eastAsia" w:ascii="仿宋" w:hAnsi="仿宋" w:eastAsia="仿宋"/>
              </w:rPr>
              <w:t>弘扬人道主义，倡导残疾人平等参与社会生活的理念，营造有利于残疾人事业发展的舆论环境；组织开展群众性文体活动，发展残疾人竞技体育；建立残疾人志愿者服务体系</w:t>
            </w:r>
          </w:p>
        </w:tc>
        <w:tc>
          <w:tcPr>
            <w:tcW w:w="2976" w:type="dxa"/>
            <w:shd w:val="clear" w:color="auto" w:fill="auto"/>
            <w:vAlign w:val="center"/>
          </w:tcPr>
          <w:p>
            <w:pPr>
              <w:spacing w:line="300" w:lineRule="exact"/>
              <w:jc w:val="left"/>
              <w:rPr>
                <w:rFonts w:hint="eastAsia" w:ascii="仿宋" w:hAnsi="仿宋" w:eastAsia="仿宋"/>
              </w:rPr>
            </w:pPr>
            <w:r>
              <w:rPr>
                <w:rFonts w:hint="eastAsia" w:ascii="仿宋" w:hAnsi="仿宋" w:eastAsia="仿宋"/>
              </w:rPr>
              <w:t>媒体宣传广泛深入，残疾人文体生活丰富，残疾人文化体育比赛成绩优良，助残志愿者与残疾人对接良好</w:t>
            </w:r>
          </w:p>
        </w:tc>
        <w:tc>
          <w:tcPr>
            <w:tcW w:w="1417" w:type="dxa"/>
            <w:shd w:val="clear" w:color="auto" w:fill="auto"/>
            <w:vAlign w:val="center"/>
          </w:tcPr>
          <w:p>
            <w:pPr>
              <w:spacing w:line="300" w:lineRule="exact"/>
              <w:jc w:val="center"/>
              <w:rPr>
                <w:rFonts w:ascii="仿宋" w:hAnsi="仿宋" w:eastAsia="仿宋"/>
              </w:rPr>
            </w:pPr>
            <w:r>
              <w:rPr>
                <w:rFonts w:hint="eastAsia" w:ascii="仿宋" w:hAnsi="仿宋" w:eastAsia="仿宋"/>
              </w:rPr>
              <w:t>通过举行多种形式的志愿者助残服务活动，为残疾人提供助残服务</w:t>
            </w:r>
          </w:p>
        </w:tc>
        <w:tc>
          <w:tcPr>
            <w:tcW w:w="737"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5</w:t>
            </w:r>
          </w:p>
        </w:tc>
        <w:tc>
          <w:tcPr>
            <w:tcW w:w="737" w:type="dxa"/>
            <w:shd w:val="clear" w:color="auto" w:fill="auto"/>
            <w:vAlign w:val="center"/>
          </w:tcPr>
          <w:p>
            <w:pPr>
              <w:spacing w:line="300" w:lineRule="exact"/>
              <w:jc w:val="center"/>
              <w:rPr>
                <w:rFonts w:ascii="仿宋" w:hAnsi="仿宋" w:eastAsia="仿宋"/>
              </w:rPr>
            </w:pPr>
            <w:r>
              <w:rPr>
                <w:rFonts w:ascii="仿宋" w:hAnsi="仿宋" w:eastAsia="仿宋"/>
              </w:rPr>
              <w:t>4</w:t>
            </w:r>
          </w:p>
        </w:tc>
        <w:tc>
          <w:tcPr>
            <w:tcW w:w="737" w:type="dxa"/>
            <w:shd w:val="clear" w:color="auto" w:fill="auto"/>
            <w:vAlign w:val="center"/>
          </w:tcPr>
          <w:p>
            <w:pPr>
              <w:spacing w:line="300" w:lineRule="exact"/>
              <w:jc w:val="center"/>
              <w:rPr>
                <w:rFonts w:ascii="仿宋" w:hAnsi="仿宋" w:eastAsia="仿宋"/>
              </w:rPr>
            </w:pPr>
            <w:r>
              <w:rPr>
                <w:rFonts w:ascii="仿宋" w:hAnsi="仿宋" w:eastAsia="仿宋"/>
              </w:rPr>
              <w:t>3</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二、残疾人综合业务管理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仿宋" w:hAnsi="仿宋" w:eastAsia="仿宋"/>
              </w:rPr>
            </w:pPr>
            <w:r>
              <w:rPr>
                <w:rFonts w:hint="eastAsia" w:ascii="仿宋" w:hAnsi="仿宋" w:eastAsia="仿宋"/>
              </w:rPr>
              <w:t>对持证残疾人需求情况进行调查，加强和规范残疾人基层组织建设，协调残疾人就业保障金的征收，加强残疾人工作建设。</w:t>
            </w:r>
          </w:p>
        </w:tc>
        <w:tc>
          <w:tcPr>
            <w:tcW w:w="2976" w:type="dxa"/>
            <w:shd w:val="clear" w:color="auto" w:fill="auto"/>
            <w:vAlign w:val="center"/>
          </w:tcPr>
          <w:p>
            <w:pPr>
              <w:spacing w:line="300" w:lineRule="exact"/>
              <w:jc w:val="left"/>
              <w:rPr>
                <w:rFonts w:hint="eastAsia" w:ascii="仿宋" w:hAnsi="仿宋" w:eastAsia="仿宋"/>
              </w:rPr>
            </w:pPr>
            <w:r>
              <w:rPr>
                <w:rFonts w:hint="eastAsia" w:ascii="仿宋" w:hAnsi="仿宋" w:eastAsia="仿宋"/>
              </w:rPr>
              <w:t>摸清残疾人底数，增强基层服务残疾人的能力，协调促进残疾人就业保障金的征收。</w:t>
            </w:r>
          </w:p>
        </w:tc>
        <w:tc>
          <w:tcPr>
            <w:tcW w:w="1417" w:type="dxa"/>
            <w:shd w:val="clear" w:color="auto" w:fill="auto"/>
            <w:vAlign w:val="center"/>
          </w:tcPr>
          <w:p>
            <w:pPr>
              <w:spacing w:line="300" w:lineRule="exact"/>
              <w:jc w:val="left"/>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、协调残疾人就业保障金征收及其他综合性业务</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仿宋" w:hAnsi="仿宋" w:eastAsia="仿宋"/>
              </w:rPr>
            </w:pPr>
            <w:r>
              <w:rPr>
                <w:rFonts w:hint="eastAsia" w:ascii="仿宋" w:hAnsi="仿宋" w:eastAsia="仿宋"/>
              </w:rPr>
              <w:t>对残疾人就业保障金征收工作进行协调；设施设备运转保障、残疾人组织建设。</w:t>
            </w:r>
          </w:p>
        </w:tc>
        <w:tc>
          <w:tcPr>
            <w:tcW w:w="2976" w:type="dxa"/>
            <w:shd w:val="clear" w:color="auto" w:fill="auto"/>
            <w:vAlign w:val="center"/>
          </w:tcPr>
          <w:p>
            <w:pPr>
              <w:spacing w:line="300" w:lineRule="exact"/>
              <w:jc w:val="left"/>
              <w:rPr>
                <w:rFonts w:hint="eastAsia" w:ascii="仿宋" w:hAnsi="仿宋" w:eastAsia="仿宋"/>
              </w:rPr>
            </w:pPr>
            <w:r>
              <w:rPr>
                <w:rFonts w:hint="eastAsia" w:ascii="仿宋" w:hAnsi="仿宋" w:eastAsia="仿宋"/>
              </w:rPr>
              <w:t>协调残疾人就业保障金征收，发挥专门协会桥梁纽带作用，联系广大残疾人；提高残疾人证办证率；增强基层服务残疾人的能力；保障正常运转，促进残疾人事业发展</w:t>
            </w:r>
          </w:p>
        </w:tc>
        <w:tc>
          <w:tcPr>
            <w:tcW w:w="1417" w:type="dxa"/>
            <w:shd w:val="clear" w:color="auto" w:fill="auto"/>
            <w:vAlign w:val="center"/>
          </w:tcPr>
          <w:p>
            <w:pPr>
              <w:spacing w:line="300" w:lineRule="exact"/>
              <w:jc w:val="center"/>
              <w:rPr>
                <w:rFonts w:ascii="仿宋" w:hAnsi="仿宋" w:eastAsia="仿宋"/>
              </w:rPr>
            </w:pPr>
            <w:r>
              <w:rPr>
                <w:rFonts w:hint="eastAsia" w:ascii="仿宋" w:hAnsi="仿宋" w:eastAsia="仿宋"/>
              </w:rPr>
              <w:t>对残疾人情况调查的基本信息准确的人数占被抽查核实人数的比例</w:t>
            </w:r>
          </w:p>
        </w:tc>
        <w:tc>
          <w:tcPr>
            <w:tcW w:w="737"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95%</w:t>
            </w:r>
          </w:p>
        </w:tc>
        <w:tc>
          <w:tcPr>
            <w:tcW w:w="737"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85%</w:t>
            </w:r>
          </w:p>
        </w:tc>
        <w:tc>
          <w:tcPr>
            <w:tcW w:w="737" w:type="dxa"/>
            <w:shd w:val="clear" w:color="auto" w:fill="auto"/>
            <w:vAlign w:val="center"/>
          </w:tcPr>
          <w:p>
            <w:pPr>
              <w:spacing w:line="300" w:lineRule="exact"/>
              <w:jc w:val="center"/>
              <w:rPr>
                <w:rFonts w:ascii="仿宋" w:hAnsi="仿宋" w:eastAsia="仿宋"/>
              </w:rPr>
            </w:pPr>
            <w:r>
              <w:rPr>
                <w:rFonts w:hint="eastAsia" w:ascii="仿宋" w:hAnsi="仿宋" w:eastAsia="仿宋"/>
              </w:rPr>
              <w:t>≥</w:t>
            </w:r>
            <w:r>
              <w:rPr>
                <w:rFonts w:ascii="仿宋" w:hAnsi="仿宋" w:eastAsia="仿宋"/>
              </w:rPr>
              <w:t>75%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＜75%</w:t>
            </w:r>
          </w:p>
        </w:tc>
      </w:tr>
    </w:tbl>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pPr>
        <w:spacing w:line="300" w:lineRule="exact"/>
        <w:jc w:val="left"/>
        <w:outlineLvl w:val="0"/>
        <w:sectPr>
          <w:pgSz w:w="16839" w:h="11907" w:orient="landscape"/>
          <w:pgMar w:top="1020" w:right="1361" w:bottom="1020" w:left="1361" w:header="851" w:footer="992" w:gutter="0"/>
          <w:cols w:space="720" w:num="1"/>
          <w:docGrid w:type="lines" w:linePitch="312" w:charSpace="0"/>
        </w:sect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hint="eastAsia" w:ascii="Times New Roman" w:hAnsi="Times New Roman" w:eastAsia="仿宋" w:cs="Times New Roman"/>
          <w:sz w:val="32"/>
          <w:szCs w:val="24"/>
        </w:rPr>
      </w:pPr>
      <w:bookmarkStart w:id="2"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lang w:val="en-US" w:eastAsia="zh-CN"/>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85.67</w:t>
      </w:r>
      <w:r>
        <w:rPr>
          <w:rFonts w:ascii="Times New Roman" w:hAnsi="Times New Roman" w:eastAsia="仿宋" w:cs="Times New Roman"/>
          <w:sz w:val="32"/>
          <w:szCs w:val="24"/>
        </w:rPr>
        <w:t>万元。具体内容见下表。</w:t>
      </w:r>
      <w:bookmarkEnd w:id="2"/>
    </w:p>
    <w:p>
      <w:pPr>
        <w:jc w:val="center"/>
        <w:outlineLvl w:val="0"/>
        <w:rPr>
          <w:rFonts w:hint="eastAsia" w:ascii="方正小标宋_GBK" w:eastAsia="方正小标宋_GBK"/>
          <w:sz w:val="32"/>
        </w:rPr>
      </w:pPr>
      <w:bookmarkStart w:id="3" w:name="_Toc1996488"/>
      <w:r>
        <w:rPr>
          <w:rFonts w:hint="eastAsia" w:ascii="方正小标宋_GBK" w:eastAsia="方正小标宋_GBK"/>
          <w:sz w:val="32"/>
        </w:rPr>
        <w:t>部门政府采购预算</w:t>
      </w:r>
      <w:bookmarkEnd w:id="3"/>
    </w:p>
    <w:tbl>
      <w:tblPr>
        <w:tblStyle w:val="9"/>
        <w:tblW w:w="1456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48"/>
        <w:gridCol w:w="1099"/>
        <w:gridCol w:w="974"/>
        <w:gridCol w:w="986"/>
        <w:gridCol w:w="760"/>
        <w:gridCol w:w="760"/>
        <w:gridCol w:w="848"/>
        <w:gridCol w:w="961"/>
        <w:gridCol w:w="961"/>
        <w:gridCol w:w="961"/>
        <w:gridCol w:w="961"/>
        <w:gridCol w:w="964"/>
        <w:gridCol w:w="964"/>
        <w:gridCol w:w="9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875"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762</w:t>
            </w:r>
            <w:r>
              <w:rPr>
                <w:rFonts w:hint="eastAsia" w:ascii="方正小标宋_GBK" w:eastAsia="方正小标宋_GBK"/>
                <w:sz w:val="24"/>
              </w:rPr>
              <w:t>隆尧县残联</w:t>
            </w:r>
          </w:p>
        </w:tc>
        <w:tc>
          <w:tcPr>
            <w:tcW w:w="669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3547"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97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98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6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76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84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693" w:type="dxa"/>
            <w:gridSpan w:val="7"/>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44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09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974" w:type="dxa"/>
            <w:vMerge w:val="continue"/>
            <w:shd w:val="clear" w:color="auto" w:fill="auto"/>
            <w:vAlign w:val="center"/>
          </w:tcPr>
          <w:p>
            <w:pPr>
              <w:spacing w:line="300" w:lineRule="exact"/>
              <w:jc w:val="left"/>
              <w:outlineLvl w:val="0"/>
            </w:pPr>
          </w:p>
        </w:tc>
        <w:tc>
          <w:tcPr>
            <w:tcW w:w="986" w:type="dxa"/>
            <w:vMerge w:val="continue"/>
            <w:shd w:val="clear" w:color="auto" w:fill="auto"/>
            <w:vAlign w:val="center"/>
          </w:tcPr>
          <w:p>
            <w:pPr>
              <w:spacing w:line="300" w:lineRule="exact"/>
              <w:jc w:val="left"/>
              <w:outlineLvl w:val="0"/>
            </w:pPr>
          </w:p>
        </w:tc>
        <w:tc>
          <w:tcPr>
            <w:tcW w:w="760" w:type="dxa"/>
            <w:vMerge w:val="continue"/>
            <w:shd w:val="clear" w:color="auto" w:fill="auto"/>
            <w:vAlign w:val="center"/>
          </w:tcPr>
          <w:p>
            <w:pPr>
              <w:spacing w:line="300" w:lineRule="exact"/>
              <w:jc w:val="left"/>
              <w:outlineLvl w:val="0"/>
            </w:pPr>
          </w:p>
        </w:tc>
        <w:tc>
          <w:tcPr>
            <w:tcW w:w="760" w:type="dxa"/>
            <w:vMerge w:val="continue"/>
            <w:shd w:val="clear" w:color="auto" w:fill="auto"/>
            <w:vAlign w:val="center"/>
          </w:tcPr>
          <w:p>
            <w:pPr>
              <w:spacing w:line="300" w:lineRule="exact"/>
              <w:jc w:val="left"/>
              <w:outlineLvl w:val="0"/>
            </w:pPr>
          </w:p>
        </w:tc>
        <w:tc>
          <w:tcPr>
            <w:tcW w:w="848" w:type="dxa"/>
            <w:vMerge w:val="continue"/>
            <w:shd w:val="clear" w:color="auto" w:fill="auto"/>
            <w:vAlign w:val="center"/>
          </w:tcPr>
          <w:p>
            <w:pPr>
              <w:spacing w:line="300" w:lineRule="exact"/>
              <w:jc w:val="left"/>
              <w:outlineLvl w:val="0"/>
            </w:pPr>
          </w:p>
        </w:tc>
        <w:tc>
          <w:tcPr>
            <w:tcW w:w="96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811" w:type="dxa"/>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92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448" w:type="dxa"/>
            <w:vMerge w:val="continue"/>
            <w:shd w:val="clear" w:color="auto" w:fill="auto"/>
            <w:vAlign w:val="center"/>
          </w:tcPr>
          <w:p>
            <w:pPr>
              <w:spacing w:line="300" w:lineRule="exact"/>
              <w:jc w:val="left"/>
              <w:outlineLvl w:val="0"/>
            </w:pPr>
          </w:p>
        </w:tc>
        <w:tc>
          <w:tcPr>
            <w:tcW w:w="1099" w:type="dxa"/>
            <w:vMerge w:val="continue"/>
            <w:shd w:val="clear" w:color="auto" w:fill="auto"/>
            <w:vAlign w:val="center"/>
          </w:tcPr>
          <w:p>
            <w:pPr>
              <w:spacing w:line="300" w:lineRule="exact"/>
              <w:jc w:val="left"/>
              <w:outlineLvl w:val="0"/>
            </w:pPr>
          </w:p>
        </w:tc>
        <w:tc>
          <w:tcPr>
            <w:tcW w:w="974" w:type="dxa"/>
            <w:vMerge w:val="continue"/>
            <w:shd w:val="clear" w:color="auto" w:fill="auto"/>
            <w:vAlign w:val="center"/>
          </w:tcPr>
          <w:p>
            <w:pPr>
              <w:spacing w:line="300" w:lineRule="exact"/>
              <w:jc w:val="left"/>
              <w:outlineLvl w:val="0"/>
            </w:pPr>
          </w:p>
        </w:tc>
        <w:tc>
          <w:tcPr>
            <w:tcW w:w="986" w:type="dxa"/>
            <w:vMerge w:val="continue"/>
            <w:shd w:val="clear" w:color="auto" w:fill="auto"/>
            <w:vAlign w:val="center"/>
          </w:tcPr>
          <w:p>
            <w:pPr>
              <w:spacing w:line="300" w:lineRule="exact"/>
              <w:jc w:val="left"/>
              <w:outlineLvl w:val="0"/>
            </w:pPr>
          </w:p>
        </w:tc>
        <w:tc>
          <w:tcPr>
            <w:tcW w:w="760" w:type="dxa"/>
            <w:vMerge w:val="continue"/>
            <w:shd w:val="clear" w:color="auto" w:fill="auto"/>
            <w:vAlign w:val="center"/>
          </w:tcPr>
          <w:p>
            <w:pPr>
              <w:spacing w:line="300" w:lineRule="exact"/>
              <w:jc w:val="left"/>
              <w:outlineLvl w:val="0"/>
            </w:pPr>
          </w:p>
        </w:tc>
        <w:tc>
          <w:tcPr>
            <w:tcW w:w="760" w:type="dxa"/>
            <w:vMerge w:val="continue"/>
            <w:shd w:val="clear" w:color="auto" w:fill="auto"/>
            <w:vAlign w:val="center"/>
          </w:tcPr>
          <w:p>
            <w:pPr>
              <w:spacing w:line="300" w:lineRule="exact"/>
              <w:jc w:val="left"/>
              <w:outlineLvl w:val="0"/>
            </w:pPr>
          </w:p>
        </w:tc>
        <w:tc>
          <w:tcPr>
            <w:tcW w:w="848" w:type="dxa"/>
            <w:vMerge w:val="continue"/>
            <w:shd w:val="clear" w:color="auto" w:fill="auto"/>
            <w:vAlign w:val="center"/>
          </w:tcPr>
          <w:p>
            <w:pPr>
              <w:spacing w:line="300" w:lineRule="exact"/>
              <w:jc w:val="left"/>
              <w:outlineLvl w:val="0"/>
            </w:pPr>
          </w:p>
        </w:tc>
        <w:tc>
          <w:tcPr>
            <w:tcW w:w="961" w:type="dxa"/>
            <w:vMerge w:val="continue"/>
            <w:shd w:val="clear" w:color="auto" w:fill="auto"/>
            <w:vAlign w:val="center"/>
          </w:tcPr>
          <w:p>
            <w:pPr>
              <w:spacing w:line="300" w:lineRule="exact"/>
              <w:jc w:val="left"/>
              <w:outlineLvl w:val="0"/>
            </w:pPr>
          </w:p>
        </w:tc>
        <w:tc>
          <w:tcPr>
            <w:tcW w:w="96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6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6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6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96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921"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244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099" w:type="dxa"/>
            <w:shd w:val="clear" w:color="auto" w:fill="auto"/>
            <w:vAlign w:val="center"/>
          </w:tcPr>
          <w:p>
            <w:pPr>
              <w:spacing w:line="300" w:lineRule="exact"/>
              <w:jc w:val="right"/>
              <w:rPr>
                <w:rFonts w:ascii="方正书宋_GBK" w:eastAsia="方正书宋_GBK"/>
                <w:b/>
              </w:rPr>
            </w:pPr>
          </w:p>
        </w:tc>
        <w:tc>
          <w:tcPr>
            <w:tcW w:w="974" w:type="dxa"/>
            <w:shd w:val="clear" w:color="auto" w:fill="auto"/>
            <w:vAlign w:val="center"/>
          </w:tcPr>
          <w:p>
            <w:pPr>
              <w:spacing w:line="300" w:lineRule="exact"/>
              <w:jc w:val="left"/>
              <w:rPr>
                <w:rFonts w:ascii="方正书宋_GBK" w:eastAsia="方正书宋_GBK"/>
                <w:b/>
              </w:rPr>
            </w:pPr>
          </w:p>
        </w:tc>
        <w:tc>
          <w:tcPr>
            <w:tcW w:w="986" w:type="dxa"/>
            <w:shd w:val="clear" w:color="auto" w:fill="auto"/>
            <w:vAlign w:val="center"/>
          </w:tcPr>
          <w:p>
            <w:pPr>
              <w:spacing w:line="300" w:lineRule="exact"/>
              <w:jc w:val="left"/>
              <w:rPr>
                <w:rFonts w:ascii="方正书宋_GBK" w:eastAsia="方正书宋_GBK"/>
                <w:b/>
              </w:rPr>
            </w:pPr>
          </w:p>
        </w:tc>
        <w:tc>
          <w:tcPr>
            <w:tcW w:w="760" w:type="dxa"/>
            <w:shd w:val="clear" w:color="auto" w:fill="auto"/>
            <w:vAlign w:val="center"/>
          </w:tcPr>
          <w:p>
            <w:pPr>
              <w:spacing w:line="300" w:lineRule="exact"/>
              <w:jc w:val="left"/>
              <w:rPr>
                <w:rFonts w:ascii="方正书宋_GBK" w:eastAsia="方正书宋_GBK"/>
                <w:b/>
              </w:rPr>
            </w:pPr>
          </w:p>
        </w:tc>
        <w:tc>
          <w:tcPr>
            <w:tcW w:w="760" w:type="dxa"/>
            <w:shd w:val="clear" w:color="auto" w:fill="auto"/>
            <w:vAlign w:val="center"/>
          </w:tcPr>
          <w:p>
            <w:pPr>
              <w:spacing w:line="300" w:lineRule="exact"/>
              <w:jc w:val="right"/>
              <w:rPr>
                <w:rFonts w:ascii="方正书宋_GBK" w:eastAsia="方正书宋_GBK"/>
                <w:b/>
              </w:rPr>
            </w:pPr>
          </w:p>
        </w:tc>
        <w:tc>
          <w:tcPr>
            <w:tcW w:w="848" w:type="dxa"/>
            <w:shd w:val="clear" w:color="auto" w:fill="auto"/>
            <w:vAlign w:val="center"/>
          </w:tcPr>
          <w:p>
            <w:pPr>
              <w:spacing w:line="300" w:lineRule="exact"/>
              <w:jc w:val="right"/>
              <w:rPr>
                <w:rFonts w:ascii="方正书宋_GBK" w:eastAsia="方正书宋_GBK"/>
                <w:b/>
              </w:rPr>
            </w:pPr>
          </w:p>
        </w:tc>
        <w:tc>
          <w:tcPr>
            <w:tcW w:w="961" w:type="dxa"/>
            <w:shd w:val="clear" w:color="auto" w:fill="auto"/>
            <w:vAlign w:val="center"/>
          </w:tcPr>
          <w:p>
            <w:pPr>
              <w:spacing w:line="300" w:lineRule="exact"/>
              <w:jc w:val="right"/>
              <w:rPr>
                <w:rFonts w:ascii="方正书宋_GBK" w:eastAsia="方正书宋_GBK"/>
                <w:b/>
              </w:rPr>
            </w:pPr>
            <w:r>
              <w:rPr>
                <w:rFonts w:hint="eastAsia" w:ascii="方正书宋_GBK" w:eastAsia="方正书宋_GBK"/>
                <w:b/>
                <w:lang w:val="en-US" w:eastAsia="zh-CN"/>
              </w:rPr>
              <w:t>85.67</w:t>
            </w:r>
          </w:p>
        </w:tc>
        <w:tc>
          <w:tcPr>
            <w:tcW w:w="961" w:type="dxa"/>
            <w:shd w:val="clear" w:color="auto" w:fill="auto"/>
            <w:vAlign w:val="center"/>
          </w:tcPr>
          <w:p>
            <w:pPr>
              <w:spacing w:line="300" w:lineRule="exact"/>
              <w:jc w:val="right"/>
              <w:rPr>
                <w:rFonts w:ascii="方正书宋_GBK" w:eastAsia="方正书宋_GBK"/>
                <w:b/>
              </w:rPr>
            </w:pPr>
            <w:r>
              <w:rPr>
                <w:rFonts w:hint="eastAsia" w:ascii="方正书宋_GBK" w:eastAsia="方正书宋_GBK"/>
                <w:b/>
                <w:lang w:val="en-US" w:eastAsia="zh-CN"/>
              </w:rPr>
              <w:t>85.67</w:t>
            </w:r>
          </w:p>
        </w:tc>
        <w:tc>
          <w:tcPr>
            <w:tcW w:w="961" w:type="dxa"/>
            <w:shd w:val="clear" w:color="auto" w:fill="auto"/>
            <w:vAlign w:val="center"/>
          </w:tcPr>
          <w:p>
            <w:pPr>
              <w:spacing w:line="300" w:lineRule="exact"/>
              <w:jc w:val="right"/>
              <w:rPr>
                <w:rFonts w:ascii="方正书宋_GBK" w:eastAsia="方正书宋_GBK"/>
                <w:b/>
              </w:rPr>
            </w:pPr>
            <w:r>
              <w:rPr>
                <w:rFonts w:hint="eastAsia" w:ascii="方正书宋_GBK" w:eastAsia="方正书宋_GBK"/>
                <w:b/>
                <w:lang w:val="en-US" w:eastAsia="zh-CN"/>
              </w:rPr>
              <w:t>85.67</w:t>
            </w:r>
          </w:p>
        </w:tc>
        <w:tc>
          <w:tcPr>
            <w:tcW w:w="961" w:type="dxa"/>
            <w:shd w:val="clear" w:color="auto" w:fill="auto"/>
            <w:vAlign w:val="center"/>
          </w:tcPr>
          <w:p>
            <w:pPr>
              <w:spacing w:line="300" w:lineRule="exact"/>
              <w:jc w:val="right"/>
              <w:rPr>
                <w:rFonts w:ascii="方正书宋_GBK" w:eastAsia="方正书宋_GBK"/>
                <w:b/>
              </w:rPr>
            </w:pPr>
          </w:p>
        </w:tc>
        <w:tc>
          <w:tcPr>
            <w:tcW w:w="964" w:type="dxa"/>
            <w:shd w:val="clear" w:color="auto" w:fill="auto"/>
            <w:vAlign w:val="center"/>
          </w:tcPr>
          <w:p>
            <w:pPr>
              <w:spacing w:line="300" w:lineRule="exact"/>
              <w:jc w:val="right"/>
              <w:rPr>
                <w:rFonts w:ascii="方正书宋_GBK" w:eastAsia="方正书宋_GBK"/>
                <w:b/>
              </w:rPr>
            </w:pPr>
          </w:p>
        </w:tc>
        <w:tc>
          <w:tcPr>
            <w:tcW w:w="964" w:type="dxa"/>
            <w:shd w:val="clear" w:color="auto" w:fill="auto"/>
            <w:vAlign w:val="center"/>
          </w:tcPr>
          <w:p>
            <w:pPr>
              <w:spacing w:line="300" w:lineRule="exact"/>
              <w:jc w:val="right"/>
              <w:rPr>
                <w:rFonts w:ascii="方正书宋_GBK" w:eastAsia="方正书宋_GBK"/>
                <w:b/>
              </w:rPr>
            </w:pPr>
          </w:p>
        </w:tc>
        <w:tc>
          <w:tcPr>
            <w:tcW w:w="921"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2448" w:type="dxa"/>
            <w:shd w:val="clear" w:color="auto" w:fill="auto"/>
            <w:vAlign w:val="center"/>
          </w:tcPr>
          <w:p>
            <w:pPr>
              <w:spacing w:line="300" w:lineRule="exact"/>
              <w:jc w:val="center"/>
              <w:rPr>
                <w:rFonts w:hint="eastAsia" w:ascii="方正书宋_GBK" w:eastAsia="方正书宋_GBK"/>
                <w:b/>
              </w:rPr>
            </w:pPr>
            <w:r>
              <w:rPr>
                <w:rFonts w:hint="eastAsia" w:ascii="方正书宋_GBK" w:eastAsia="方正书宋_GBK"/>
                <w:b/>
              </w:rPr>
              <w:t>隆尧县残疾人联合会小计</w:t>
            </w:r>
          </w:p>
        </w:tc>
        <w:tc>
          <w:tcPr>
            <w:tcW w:w="1099" w:type="dxa"/>
            <w:shd w:val="clear" w:color="auto" w:fill="auto"/>
            <w:vAlign w:val="center"/>
          </w:tcPr>
          <w:p>
            <w:pPr>
              <w:spacing w:line="300" w:lineRule="exact"/>
              <w:jc w:val="right"/>
              <w:rPr>
                <w:rFonts w:ascii="方正书宋_GBK" w:eastAsia="方正书宋_GBK"/>
                <w:b/>
              </w:rPr>
            </w:pPr>
          </w:p>
        </w:tc>
        <w:tc>
          <w:tcPr>
            <w:tcW w:w="974" w:type="dxa"/>
            <w:shd w:val="clear" w:color="auto" w:fill="auto"/>
            <w:vAlign w:val="center"/>
          </w:tcPr>
          <w:p>
            <w:pPr>
              <w:spacing w:line="300" w:lineRule="exact"/>
              <w:jc w:val="left"/>
              <w:rPr>
                <w:rFonts w:ascii="方正书宋_GBK" w:eastAsia="方正书宋_GBK"/>
                <w:b/>
              </w:rPr>
            </w:pPr>
          </w:p>
        </w:tc>
        <w:tc>
          <w:tcPr>
            <w:tcW w:w="986" w:type="dxa"/>
            <w:shd w:val="clear" w:color="auto" w:fill="auto"/>
            <w:vAlign w:val="center"/>
          </w:tcPr>
          <w:p>
            <w:pPr>
              <w:spacing w:line="300" w:lineRule="exact"/>
              <w:jc w:val="left"/>
              <w:rPr>
                <w:rFonts w:ascii="方正书宋_GBK" w:eastAsia="方正书宋_GBK"/>
                <w:b/>
              </w:rPr>
            </w:pPr>
          </w:p>
        </w:tc>
        <w:tc>
          <w:tcPr>
            <w:tcW w:w="760" w:type="dxa"/>
            <w:shd w:val="clear" w:color="auto" w:fill="auto"/>
            <w:vAlign w:val="center"/>
          </w:tcPr>
          <w:p>
            <w:pPr>
              <w:spacing w:line="300" w:lineRule="exact"/>
              <w:jc w:val="left"/>
              <w:rPr>
                <w:rFonts w:ascii="方正书宋_GBK" w:eastAsia="方正书宋_GBK"/>
                <w:b/>
              </w:rPr>
            </w:pPr>
          </w:p>
        </w:tc>
        <w:tc>
          <w:tcPr>
            <w:tcW w:w="760" w:type="dxa"/>
            <w:shd w:val="clear" w:color="auto" w:fill="auto"/>
            <w:vAlign w:val="center"/>
          </w:tcPr>
          <w:p>
            <w:pPr>
              <w:spacing w:line="300" w:lineRule="exact"/>
              <w:jc w:val="right"/>
              <w:rPr>
                <w:rFonts w:ascii="方正书宋_GBK" w:eastAsia="方正书宋_GBK"/>
                <w:b/>
              </w:rPr>
            </w:pPr>
          </w:p>
        </w:tc>
        <w:tc>
          <w:tcPr>
            <w:tcW w:w="848" w:type="dxa"/>
            <w:shd w:val="clear" w:color="auto" w:fill="auto"/>
            <w:vAlign w:val="center"/>
          </w:tcPr>
          <w:p>
            <w:pPr>
              <w:spacing w:line="300" w:lineRule="exact"/>
              <w:jc w:val="right"/>
              <w:rPr>
                <w:rFonts w:ascii="方正书宋_GBK" w:eastAsia="方正书宋_GBK"/>
                <w:b/>
              </w:rPr>
            </w:pPr>
          </w:p>
        </w:tc>
        <w:tc>
          <w:tcPr>
            <w:tcW w:w="961" w:type="dxa"/>
            <w:shd w:val="clear" w:color="auto" w:fill="auto"/>
            <w:vAlign w:val="center"/>
          </w:tcPr>
          <w:p>
            <w:pPr>
              <w:spacing w:line="300" w:lineRule="exact"/>
              <w:jc w:val="right"/>
              <w:rPr>
                <w:rFonts w:ascii="方正书宋_GBK" w:eastAsia="方正书宋_GBK"/>
                <w:b/>
              </w:rPr>
            </w:pPr>
            <w:r>
              <w:rPr>
                <w:rFonts w:hint="eastAsia" w:ascii="方正书宋_GBK" w:eastAsia="方正书宋_GBK"/>
                <w:b/>
                <w:lang w:val="en-US" w:eastAsia="zh-CN"/>
              </w:rPr>
              <w:t>85.67</w:t>
            </w:r>
          </w:p>
        </w:tc>
        <w:tc>
          <w:tcPr>
            <w:tcW w:w="961" w:type="dxa"/>
            <w:shd w:val="clear" w:color="auto" w:fill="auto"/>
            <w:vAlign w:val="center"/>
          </w:tcPr>
          <w:p>
            <w:pPr>
              <w:spacing w:line="300" w:lineRule="exact"/>
              <w:jc w:val="right"/>
              <w:rPr>
                <w:rFonts w:ascii="方正书宋_GBK" w:eastAsia="方正书宋_GBK"/>
                <w:b/>
              </w:rPr>
            </w:pPr>
            <w:r>
              <w:rPr>
                <w:rFonts w:hint="eastAsia" w:ascii="方正书宋_GBK" w:eastAsia="方正书宋_GBK"/>
                <w:b/>
                <w:lang w:val="en-US" w:eastAsia="zh-CN"/>
              </w:rPr>
              <w:t>85.67</w:t>
            </w:r>
          </w:p>
        </w:tc>
        <w:tc>
          <w:tcPr>
            <w:tcW w:w="961" w:type="dxa"/>
            <w:shd w:val="clear" w:color="auto" w:fill="auto"/>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85.67</w:t>
            </w:r>
          </w:p>
        </w:tc>
        <w:tc>
          <w:tcPr>
            <w:tcW w:w="961" w:type="dxa"/>
            <w:shd w:val="clear" w:color="auto" w:fill="auto"/>
            <w:vAlign w:val="center"/>
          </w:tcPr>
          <w:p>
            <w:pPr>
              <w:spacing w:line="300" w:lineRule="exact"/>
              <w:jc w:val="right"/>
              <w:rPr>
                <w:rFonts w:ascii="方正书宋_GBK" w:eastAsia="方正书宋_GBK"/>
                <w:b/>
              </w:rPr>
            </w:pPr>
          </w:p>
        </w:tc>
        <w:tc>
          <w:tcPr>
            <w:tcW w:w="964" w:type="dxa"/>
            <w:shd w:val="clear" w:color="auto" w:fill="auto"/>
            <w:vAlign w:val="center"/>
          </w:tcPr>
          <w:p>
            <w:pPr>
              <w:spacing w:line="300" w:lineRule="exact"/>
              <w:jc w:val="right"/>
              <w:rPr>
                <w:rFonts w:ascii="方正书宋_GBK" w:eastAsia="方正书宋_GBK"/>
                <w:b/>
              </w:rPr>
            </w:pPr>
          </w:p>
        </w:tc>
        <w:tc>
          <w:tcPr>
            <w:tcW w:w="964" w:type="dxa"/>
            <w:shd w:val="clear" w:color="auto" w:fill="auto"/>
            <w:vAlign w:val="center"/>
          </w:tcPr>
          <w:p>
            <w:pPr>
              <w:spacing w:line="300" w:lineRule="exact"/>
              <w:jc w:val="right"/>
              <w:rPr>
                <w:rFonts w:ascii="方正书宋_GBK" w:eastAsia="方正书宋_GBK"/>
                <w:b/>
              </w:rPr>
            </w:pPr>
          </w:p>
        </w:tc>
        <w:tc>
          <w:tcPr>
            <w:tcW w:w="921"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2448" w:type="dxa"/>
            <w:shd w:val="clear" w:color="auto" w:fill="auto"/>
            <w:vAlign w:val="center"/>
          </w:tcPr>
          <w:p>
            <w:pPr>
              <w:keepNext w:val="0"/>
              <w:keepLines w:val="0"/>
              <w:widowControl/>
              <w:suppressLineNumbers w:val="0"/>
              <w:jc w:val="left"/>
              <w:textAlignment w:val="center"/>
              <w:rPr>
                <w:rFonts w:hint="eastAsia" w:ascii="仿宋_GB2312" w:hAnsi="仿宋" w:eastAsia="仿宋_GB2312"/>
                <w:szCs w:val="21"/>
              </w:rPr>
            </w:pPr>
            <w:r>
              <w:rPr>
                <w:rFonts w:hint="eastAsia" w:ascii="宋体" w:hAnsi="宋体" w:eastAsia="宋体" w:cs="宋体"/>
                <w:i w:val="0"/>
                <w:color w:val="000000"/>
                <w:kern w:val="0"/>
                <w:sz w:val="18"/>
                <w:szCs w:val="18"/>
                <w:u w:val="none"/>
                <w:lang w:val="en-US" w:eastAsia="zh-CN" w:bidi="ar"/>
              </w:rPr>
              <w:t>残联专项公用经费</w:t>
            </w:r>
          </w:p>
        </w:tc>
        <w:tc>
          <w:tcPr>
            <w:tcW w:w="1099" w:type="dxa"/>
            <w:shd w:val="clear" w:color="auto" w:fill="auto"/>
            <w:vAlign w:val="center"/>
          </w:tcPr>
          <w:p>
            <w:pPr>
              <w:spacing w:line="300" w:lineRule="exact"/>
              <w:jc w:val="right"/>
              <w:rPr>
                <w:rFonts w:hint="default" w:ascii="仿宋_GB2312" w:hAnsi="仿宋" w:eastAsia="仿宋_GB2312"/>
                <w:szCs w:val="21"/>
                <w:lang w:val="en-US" w:eastAsia="zh-CN"/>
              </w:rPr>
            </w:pPr>
            <w:r>
              <w:rPr>
                <w:rFonts w:hint="eastAsia" w:ascii="仿宋_GB2312" w:hAnsi="仿宋" w:eastAsia="仿宋_GB2312"/>
                <w:szCs w:val="21"/>
              </w:rPr>
              <w:t>1</w:t>
            </w:r>
            <w:r>
              <w:rPr>
                <w:rFonts w:hint="eastAsia" w:ascii="仿宋_GB2312" w:hAnsi="仿宋" w:eastAsia="仿宋_GB2312"/>
                <w:szCs w:val="21"/>
                <w:lang w:val="en-US" w:eastAsia="zh-CN"/>
              </w:rPr>
              <w:t>0.55</w:t>
            </w:r>
          </w:p>
        </w:tc>
        <w:tc>
          <w:tcPr>
            <w:tcW w:w="974" w:type="dxa"/>
            <w:shd w:val="clear" w:color="auto" w:fill="auto"/>
            <w:vAlign w:val="center"/>
          </w:tcPr>
          <w:p>
            <w:pPr>
              <w:spacing w:line="300" w:lineRule="exact"/>
              <w:jc w:val="left"/>
              <w:rPr>
                <w:rFonts w:hint="eastAsia" w:ascii="仿宋_GB2312" w:hAnsi="仿宋" w:eastAsia="仿宋_GB2312"/>
                <w:szCs w:val="21"/>
              </w:rPr>
            </w:pPr>
            <w:r>
              <w:rPr>
                <w:rFonts w:hint="eastAsia" w:ascii="仿宋_GB2312" w:hAnsi="仿宋" w:eastAsia="仿宋_GB2312"/>
                <w:szCs w:val="21"/>
              </w:rPr>
              <w:t>办公消耗用品及类似物品</w:t>
            </w:r>
          </w:p>
        </w:tc>
        <w:tc>
          <w:tcPr>
            <w:tcW w:w="986" w:type="dxa"/>
            <w:shd w:val="clear" w:color="auto" w:fill="auto"/>
            <w:vAlign w:val="center"/>
          </w:tcPr>
          <w:p>
            <w:pPr>
              <w:spacing w:line="300" w:lineRule="exact"/>
              <w:jc w:val="left"/>
              <w:rPr>
                <w:rFonts w:hint="eastAsia" w:ascii="仿宋_GB2312" w:hAnsi="仿宋" w:eastAsia="仿宋_GB2312"/>
                <w:szCs w:val="21"/>
              </w:rPr>
            </w:pPr>
            <w:r>
              <w:rPr>
                <w:rFonts w:hint="eastAsia" w:ascii="仿宋_GB2312" w:hAnsi="仿宋" w:eastAsia="仿宋_GB2312"/>
                <w:szCs w:val="21"/>
              </w:rPr>
              <w:t>A09</w:t>
            </w:r>
          </w:p>
        </w:tc>
        <w:tc>
          <w:tcPr>
            <w:tcW w:w="760" w:type="dxa"/>
            <w:shd w:val="clear" w:color="auto" w:fill="auto"/>
            <w:vAlign w:val="center"/>
          </w:tcPr>
          <w:p>
            <w:pPr>
              <w:spacing w:line="300" w:lineRule="exact"/>
              <w:jc w:val="left"/>
              <w:rPr>
                <w:rFonts w:hint="eastAsia" w:ascii="仿宋_GB2312" w:hAnsi="仿宋" w:eastAsia="仿宋_GB2312"/>
                <w:szCs w:val="21"/>
              </w:rPr>
            </w:pPr>
          </w:p>
        </w:tc>
        <w:tc>
          <w:tcPr>
            <w:tcW w:w="760" w:type="dxa"/>
            <w:shd w:val="clear" w:color="auto" w:fill="auto"/>
            <w:vAlign w:val="center"/>
          </w:tcPr>
          <w:p>
            <w:pPr>
              <w:spacing w:line="300" w:lineRule="exact"/>
              <w:jc w:val="right"/>
              <w:rPr>
                <w:rFonts w:hint="eastAsia" w:ascii="仿宋_GB2312" w:hAnsi="仿宋" w:eastAsia="仿宋_GB2312"/>
                <w:szCs w:val="21"/>
              </w:rPr>
            </w:pPr>
            <w:r>
              <w:rPr>
                <w:rFonts w:hint="eastAsia" w:ascii="仿宋_GB2312" w:hAnsi="仿宋" w:eastAsia="仿宋_GB2312"/>
                <w:szCs w:val="21"/>
              </w:rPr>
              <w:t>1.00</w:t>
            </w:r>
          </w:p>
        </w:tc>
        <w:tc>
          <w:tcPr>
            <w:tcW w:w="848" w:type="dxa"/>
            <w:shd w:val="clear" w:color="auto" w:fill="auto"/>
            <w:vAlign w:val="center"/>
          </w:tcPr>
          <w:p>
            <w:pPr>
              <w:spacing w:line="300" w:lineRule="exact"/>
              <w:jc w:val="right"/>
              <w:rPr>
                <w:rFonts w:hint="default" w:ascii="仿宋_GB2312" w:hAnsi="仿宋" w:eastAsia="仿宋_GB2312"/>
                <w:szCs w:val="21"/>
                <w:lang w:val="en-US" w:eastAsia="zh-CN"/>
              </w:rPr>
            </w:pPr>
            <w:r>
              <w:rPr>
                <w:rFonts w:hint="eastAsia" w:ascii="仿宋_GB2312" w:hAnsi="仿宋" w:eastAsia="仿宋_GB2312"/>
                <w:szCs w:val="21"/>
                <w:lang w:val="en-US" w:eastAsia="zh-CN"/>
              </w:rPr>
              <w:t>8.8</w:t>
            </w:r>
          </w:p>
        </w:tc>
        <w:tc>
          <w:tcPr>
            <w:tcW w:w="961" w:type="dxa"/>
            <w:shd w:val="clear" w:color="auto" w:fill="auto"/>
            <w:vAlign w:val="center"/>
          </w:tcPr>
          <w:p>
            <w:pPr>
              <w:spacing w:line="300" w:lineRule="exact"/>
              <w:jc w:val="right"/>
              <w:rPr>
                <w:rFonts w:hint="default" w:ascii="仿宋_GB2312" w:hAnsi="仿宋" w:eastAsia="仿宋_GB2312"/>
                <w:szCs w:val="21"/>
                <w:lang w:val="en-US" w:eastAsia="zh-CN"/>
              </w:rPr>
            </w:pPr>
            <w:r>
              <w:rPr>
                <w:rFonts w:hint="eastAsia" w:ascii="仿宋_GB2312" w:hAnsi="仿宋" w:eastAsia="仿宋_GB2312"/>
                <w:szCs w:val="21"/>
                <w:lang w:val="en-US" w:eastAsia="zh-CN"/>
              </w:rPr>
              <w:t>8.8</w:t>
            </w:r>
          </w:p>
        </w:tc>
        <w:tc>
          <w:tcPr>
            <w:tcW w:w="961" w:type="dxa"/>
            <w:shd w:val="clear" w:color="auto" w:fill="auto"/>
            <w:vAlign w:val="center"/>
          </w:tcPr>
          <w:p>
            <w:pPr>
              <w:spacing w:line="300" w:lineRule="exact"/>
              <w:jc w:val="right"/>
              <w:rPr>
                <w:rFonts w:hint="default" w:ascii="仿宋_GB2312" w:hAnsi="仿宋" w:eastAsia="仿宋_GB2312"/>
                <w:szCs w:val="21"/>
                <w:lang w:val="en-US" w:eastAsia="zh-CN"/>
              </w:rPr>
            </w:pPr>
            <w:r>
              <w:rPr>
                <w:rFonts w:hint="eastAsia" w:ascii="仿宋_GB2312" w:hAnsi="仿宋" w:eastAsia="仿宋_GB2312"/>
                <w:szCs w:val="21"/>
                <w:lang w:val="en-US" w:eastAsia="zh-CN"/>
              </w:rPr>
              <w:t>8.8</w:t>
            </w:r>
          </w:p>
        </w:tc>
        <w:tc>
          <w:tcPr>
            <w:tcW w:w="961" w:type="dxa"/>
            <w:shd w:val="clear" w:color="auto" w:fill="auto"/>
            <w:vAlign w:val="center"/>
          </w:tcPr>
          <w:p>
            <w:pPr>
              <w:spacing w:line="300" w:lineRule="exact"/>
              <w:jc w:val="right"/>
              <w:rPr>
                <w:rFonts w:hint="eastAsia" w:ascii="仿宋_GB2312" w:hAnsi="仿宋" w:eastAsia="仿宋_GB2312"/>
                <w:szCs w:val="21"/>
              </w:rPr>
            </w:pPr>
            <w:r>
              <w:rPr>
                <w:rFonts w:hint="eastAsia" w:ascii="仿宋_GB2312" w:hAnsi="仿宋" w:eastAsia="仿宋_GB2312"/>
                <w:szCs w:val="21"/>
                <w:lang w:val="en-US" w:eastAsia="zh-CN"/>
              </w:rPr>
              <w:t>8.8</w:t>
            </w:r>
          </w:p>
        </w:tc>
        <w:tc>
          <w:tcPr>
            <w:tcW w:w="961" w:type="dxa"/>
            <w:shd w:val="clear" w:color="auto" w:fill="auto"/>
            <w:vAlign w:val="center"/>
          </w:tcPr>
          <w:p>
            <w:pPr>
              <w:spacing w:line="300" w:lineRule="exact"/>
              <w:jc w:val="right"/>
              <w:rPr>
                <w:rFonts w:ascii="仿宋" w:hAnsi="仿宋" w:eastAsia="仿宋"/>
                <w:sz w:val="30"/>
                <w:szCs w:val="30"/>
              </w:rPr>
            </w:pPr>
          </w:p>
        </w:tc>
        <w:tc>
          <w:tcPr>
            <w:tcW w:w="964" w:type="dxa"/>
            <w:shd w:val="clear" w:color="auto" w:fill="auto"/>
            <w:vAlign w:val="center"/>
          </w:tcPr>
          <w:p>
            <w:pPr>
              <w:spacing w:line="300" w:lineRule="exact"/>
              <w:jc w:val="right"/>
              <w:rPr>
                <w:rFonts w:ascii="仿宋" w:hAnsi="仿宋" w:eastAsia="仿宋"/>
                <w:sz w:val="30"/>
                <w:szCs w:val="30"/>
              </w:rPr>
            </w:pPr>
          </w:p>
        </w:tc>
        <w:tc>
          <w:tcPr>
            <w:tcW w:w="964" w:type="dxa"/>
            <w:shd w:val="clear" w:color="auto" w:fill="auto"/>
            <w:vAlign w:val="center"/>
          </w:tcPr>
          <w:p>
            <w:pPr>
              <w:spacing w:line="300" w:lineRule="exact"/>
              <w:jc w:val="right"/>
              <w:rPr>
                <w:rFonts w:ascii="仿宋" w:hAnsi="仿宋" w:eastAsia="仿宋"/>
                <w:sz w:val="30"/>
                <w:szCs w:val="30"/>
              </w:rPr>
            </w:pPr>
          </w:p>
        </w:tc>
        <w:tc>
          <w:tcPr>
            <w:tcW w:w="92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2448" w:type="dxa"/>
            <w:shd w:val="clear" w:color="auto" w:fill="auto"/>
            <w:vAlign w:val="center"/>
          </w:tcPr>
          <w:p>
            <w:pPr>
              <w:keepNext w:val="0"/>
              <w:keepLines w:val="0"/>
              <w:widowControl/>
              <w:suppressLineNumbers w:val="0"/>
              <w:jc w:val="left"/>
              <w:textAlignment w:val="center"/>
              <w:rPr>
                <w:rFonts w:hint="eastAsia" w:ascii="仿宋_GB2312" w:hAnsi="仿宋" w:eastAsia="仿宋_GB2312"/>
                <w:szCs w:val="21"/>
              </w:rPr>
            </w:pPr>
            <w:r>
              <w:rPr>
                <w:rFonts w:hint="eastAsia" w:ascii="宋体" w:hAnsi="宋体" w:eastAsia="宋体" w:cs="宋体"/>
                <w:i w:val="0"/>
                <w:color w:val="000000"/>
                <w:kern w:val="0"/>
                <w:sz w:val="18"/>
                <w:szCs w:val="18"/>
                <w:u w:val="none"/>
                <w:lang w:val="en-US" w:eastAsia="zh-CN" w:bidi="ar"/>
              </w:rPr>
              <w:t>残疾人托养服务</w:t>
            </w:r>
          </w:p>
        </w:tc>
        <w:tc>
          <w:tcPr>
            <w:tcW w:w="1099" w:type="dxa"/>
            <w:shd w:val="clear" w:color="auto" w:fill="auto"/>
            <w:vAlign w:val="center"/>
          </w:tcPr>
          <w:p>
            <w:pPr>
              <w:spacing w:line="300" w:lineRule="exact"/>
              <w:jc w:val="right"/>
              <w:rPr>
                <w:rFonts w:hint="default" w:ascii="仿宋_GB2312" w:hAnsi="仿宋" w:eastAsia="仿宋_GB2312"/>
                <w:szCs w:val="21"/>
                <w:lang w:val="en-US" w:eastAsia="zh-CN"/>
              </w:rPr>
            </w:pPr>
            <w:r>
              <w:rPr>
                <w:rFonts w:hint="eastAsia" w:ascii="仿宋_GB2312" w:hAnsi="仿宋" w:eastAsia="仿宋_GB2312"/>
                <w:szCs w:val="21"/>
                <w:lang w:val="en-US" w:eastAsia="zh-CN"/>
              </w:rPr>
              <w:t>23.46</w:t>
            </w:r>
          </w:p>
        </w:tc>
        <w:tc>
          <w:tcPr>
            <w:tcW w:w="974" w:type="dxa"/>
            <w:shd w:val="clear" w:color="auto" w:fill="auto"/>
            <w:vAlign w:val="center"/>
          </w:tcPr>
          <w:p>
            <w:pPr>
              <w:keepNext w:val="0"/>
              <w:keepLines w:val="0"/>
              <w:widowControl/>
              <w:suppressLineNumbers w:val="0"/>
              <w:jc w:val="left"/>
              <w:textAlignment w:val="center"/>
              <w:rPr>
                <w:rFonts w:hint="eastAsia" w:ascii="仿宋_GB2312" w:hAnsi="仿宋" w:eastAsia="仿宋_GB2312"/>
                <w:szCs w:val="21"/>
              </w:rPr>
            </w:pPr>
            <w:r>
              <w:rPr>
                <w:rFonts w:hint="eastAsia" w:ascii="仿宋_GB2312" w:hAnsi="仿宋" w:eastAsia="仿宋_GB2312"/>
                <w:szCs w:val="21"/>
                <w:lang w:eastAsia="zh-CN"/>
              </w:rPr>
              <w:t>健康检查</w:t>
            </w:r>
            <w:r>
              <w:rPr>
                <w:rFonts w:hint="eastAsia" w:ascii="宋体" w:hAnsi="宋体" w:eastAsia="宋体" w:cs="宋体"/>
                <w:i w:val="0"/>
                <w:color w:val="000000"/>
                <w:kern w:val="0"/>
                <w:sz w:val="18"/>
                <w:szCs w:val="18"/>
                <w:u w:val="none"/>
                <w:lang w:val="en-US" w:eastAsia="zh-CN" w:bidi="ar"/>
              </w:rPr>
              <w:t>服务</w:t>
            </w:r>
          </w:p>
        </w:tc>
        <w:tc>
          <w:tcPr>
            <w:tcW w:w="986" w:type="dxa"/>
            <w:shd w:val="clear" w:color="auto" w:fill="auto"/>
            <w:vAlign w:val="center"/>
          </w:tcPr>
          <w:p>
            <w:pPr>
              <w:keepNext w:val="0"/>
              <w:keepLines w:val="0"/>
              <w:widowControl/>
              <w:suppressLineNumbers w:val="0"/>
              <w:jc w:val="left"/>
              <w:textAlignment w:val="center"/>
              <w:rPr>
                <w:rFonts w:hint="eastAsia" w:ascii="仿宋_GB2312" w:hAnsi="仿宋" w:eastAsia="仿宋_GB2312"/>
                <w:szCs w:val="21"/>
              </w:rPr>
            </w:pPr>
            <w:r>
              <w:rPr>
                <w:rFonts w:hint="eastAsia" w:ascii="宋体" w:hAnsi="宋体" w:eastAsia="宋体" w:cs="宋体"/>
                <w:i w:val="0"/>
                <w:color w:val="000000"/>
                <w:kern w:val="0"/>
                <w:sz w:val="18"/>
                <w:szCs w:val="18"/>
                <w:u w:val="none"/>
                <w:lang w:val="en-US" w:eastAsia="zh-CN" w:bidi="ar"/>
              </w:rPr>
              <w:t>[C190107]</w:t>
            </w:r>
          </w:p>
        </w:tc>
        <w:tc>
          <w:tcPr>
            <w:tcW w:w="760" w:type="dxa"/>
            <w:shd w:val="clear" w:color="auto" w:fill="auto"/>
            <w:vAlign w:val="center"/>
          </w:tcPr>
          <w:p>
            <w:pPr>
              <w:spacing w:line="300" w:lineRule="exact"/>
              <w:jc w:val="left"/>
              <w:rPr>
                <w:rFonts w:hint="eastAsia" w:ascii="仿宋_GB2312" w:hAnsi="仿宋" w:eastAsia="仿宋_GB2312"/>
                <w:szCs w:val="21"/>
              </w:rPr>
            </w:pPr>
          </w:p>
        </w:tc>
        <w:tc>
          <w:tcPr>
            <w:tcW w:w="760" w:type="dxa"/>
            <w:shd w:val="clear" w:color="auto" w:fill="auto"/>
            <w:vAlign w:val="center"/>
          </w:tcPr>
          <w:p>
            <w:pPr>
              <w:spacing w:line="300" w:lineRule="exact"/>
              <w:jc w:val="right"/>
              <w:rPr>
                <w:rFonts w:hint="eastAsia" w:ascii="仿宋_GB2312" w:hAnsi="仿宋" w:eastAsia="仿宋_GB2312"/>
                <w:szCs w:val="21"/>
              </w:rPr>
            </w:pPr>
            <w:r>
              <w:rPr>
                <w:rFonts w:hint="eastAsia" w:ascii="仿宋_GB2312" w:hAnsi="仿宋" w:eastAsia="仿宋_GB2312"/>
                <w:szCs w:val="21"/>
              </w:rPr>
              <w:t>1.00</w:t>
            </w:r>
          </w:p>
        </w:tc>
        <w:tc>
          <w:tcPr>
            <w:tcW w:w="848" w:type="dxa"/>
            <w:shd w:val="clear" w:color="auto" w:fill="auto"/>
            <w:vAlign w:val="center"/>
          </w:tcPr>
          <w:p>
            <w:pPr>
              <w:spacing w:line="300" w:lineRule="exact"/>
              <w:jc w:val="right"/>
              <w:rPr>
                <w:rFonts w:hint="default" w:ascii="仿宋_GB2312" w:hAnsi="仿宋" w:eastAsia="仿宋_GB2312"/>
                <w:szCs w:val="21"/>
                <w:lang w:val="en-US"/>
              </w:rPr>
            </w:pPr>
            <w:r>
              <w:rPr>
                <w:rFonts w:hint="eastAsia" w:ascii="仿宋_GB2312" w:hAnsi="仿宋" w:eastAsia="仿宋_GB2312"/>
                <w:szCs w:val="21"/>
                <w:lang w:val="en-US" w:eastAsia="zh-CN"/>
              </w:rPr>
              <w:t>23.46</w:t>
            </w:r>
          </w:p>
        </w:tc>
        <w:tc>
          <w:tcPr>
            <w:tcW w:w="961" w:type="dxa"/>
            <w:shd w:val="clear" w:color="auto" w:fill="auto"/>
            <w:vAlign w:val="center"/>
          </w:tcPr>
          <w:p>
            <w:pPr>
              <w:spacing w:line="300" w:lineRule="exact"/>
              <w:jc w:val="right"/>
              <w:rPr>
                <w:rFonts w:hint="default" w:ascii="仿宋_GB2312" w:hAnsi="仿宋" w:eastAsia="仿宋_GB2312"/>
                <w:szCs w:val="21"/>
                <w:lang w:val="en-US"/>
              </w:rPr>
            </w:pPr>
            <w:r>
              <w:rPr>
                <w:rFonts w:hint="eastAsia" w:ascii="仿宋_GB2312" w:hAnsi="仿宋" w:eastAsia="仿宋_GB2312"/>
                <w:szCs w:val="21"/>
                <w:lang w:val="en-US" w:eastAsia="zh-CN"/>
              </w:rPr>
              <w:t>23.46</w:t>
            </w:r>
          </w:p>
        </w:tc>
        <w:tc>
          <w:tcPr>
            <w:tcW w:w="961" w:type="dxa"/>
            <w:shd w:val="clear" w:color="auto" w:fill="auto"/>
            <w:vAlign w:val="center"/>
          </w:tcPr>
          <w:p>
            <w:pPr>
              <w:spacing w:line="300" w:lineRule="exact"/>
              <w:jc w:val="right"/>
              <w:rPr>
                <w:rFonts w:hint="default" w:ascii="仿宋_GB2312" w:hAnsi="仿宋" w:eastAsia="仿宋_GB2312"/>
                <w:szCs w:val="21"/>
                <w:lang w:val="en-US"/>
              </w:rPr>
            </w:pPr>
            <w:r>
              <w:rPr>
                <w:rFonts w:hint="eastAsia" w:ascii="仿宋_GB2312" w:hAnsi="仿宋" w:eastAsia="仿宋_GB2312"/>
                <w:szCs w:val="21"/>
                <w:lang w:val="en-US" w:eastAsia="zh-CN"/>
              </w:rPr>
              <w:t>23.46</w:t>
            </w:r>
          </w:p>
        </w:tc>
        <w:tc>
          <w:tcPr>
            <w:tcW w:w="961" w:type="dxa"/>
            <w:shd w:val="clear" w:color="auto" w:fill="auto"/>
            <w:vAlign w:val="center"/>
          </w:tcPr>
          <w:p>
            <w:pPr>
              <w:spacing w:line="300" w:lineRule="exact"/>
              <w:jc w:val="right"/>
              <w:rPr>
                <w:rFonts w:hint="default" w:ascii="仿宋_GB2312" w:hAnsi="仿宋" w:eastAsia="仿宋_GB2312"/>
                <w:szCs w:val="21"/>
                <w:lang w:val="en-US"/>
              </w:rPr>
            </w:pPr>
            <w:r>
              <w:rPr>
                <w:rFonts w:hint="eastAsia" w:ascii="仿宋_GB2312" w:hAnsi="仿宋" w:eastAsia="仿宋_GB2312"/>
                <w:szCs w:val="21"/>
                <w:lang w:val="en-US" w:eastAsia="zh-CN"/>
              </w:rPr>
              <w:t>23.46</w:t>
            </w:r>
          </w:p>
        </w:tc>
        <w:tc>
          <w:tcPr>
            <w:tcW w:w="961" w:type="dxa"/>
            <w:shd w:val="clear" w:color="auto" w:fill="auto"/>
            <w:vAlign w:val="center"/>
          </w:tcPr>
          <w:p>
            <w:pPr>
              <w:spacing w:line="300" w:lineRule="exact"/>
              <w:jc w:val="right"/>
              <w:rPr>
                <w:rFonts w:ascii="仿宋" w:hAnsi="仿宋" w:eastAsia="仿宋"/>
                <w:sz w:val="30"/>
                <w:szCs w:val="30"/>
              </w:rPr>
            </w:pPr>
          </w:p>
        </w:tc>
        <w:tc>
          <w:tcPr>
            <w:tcW w:w="964" w:type="dxa"/>
            <w:shd w:val="clear" w:color="auto" w:fill="auto"/>
            <w:vAlign w:val="center"/>
          </w:tcPr>
          <w:p>
            <w:pPr>
              <w:spacing w:line="300" w:lineRule="exact"/>
              <w:jc w:val="right"/>
              <w:rPr>
                <w:rFonts w:ascii="仿宋" w:hAnsi="仿宋" w:eastAsia="仿宋"/>
                <w:sz w:val="30"/>
                <w:szCs w:val="30"/>
              </w:rPr>
            </w:pPr>
          </w:p>
        </w:tc>
        <w:tc>
          <w:tcPr>
            <w:tcW w:w="964" w:type="dxa"/>
            <w:shd w:val="clear" w:color="auto" w:fill="auto"/>
            <w:vAlign w:val="center"/>
          </w:tcPr>
          <w:p>
            <w:pPr>
              <w:spacing w:line="300" w:lineRule="exact"/>
              <w:jc w:val="right"/>
              <w:rPr>
                <w:rFonts w:ascii="仿宋" w:hAnsi="仿宋" w:eastAsia="仿宋"/>
                <w:sz w:val="30"/>
                <w:szCs w:val="30"/>
              </w:rPr>
            </w:pPr>
          </w:p>
        </w:tc>
        <w:tc>
          <w:tcPr>
            <w:tcW w:w="92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072" w:hRule="atLeast"/>
          <w:jc w:val="center"/>
        </w:trPr>
        <w:tc>
          <w:tcPr>
            <w:tcW w:w="2448" w:type="dxa"/>
            <w:shd w:val="clear" w:color="auto" w:fill="auto"/>
            <w:vAlign w:val="center"/>
          </w:tcPr>
          <w:p>
            <w:pPr>
              <w:keepNext w:val="0"/>
              <w:keepLines w:val="0"/>
              <w:widowControl/>
              <w:suppressLineNumbers w:val="0"/>
              <w:jc w:val="left"/>
              <w:textAlignment w:val="center"/>
              <w:rPr>
                <w:rFonts w:hint="eastAsia" w:ascii="仿宋_GB2312" w:hAnsi="仿宋" w:eastAsia="仿宋_GB2312"/>
                <w:szCs w:val="21"/>
                <w:lang w:val="en-US" w:eastAsia="zh-CN"/>
              </w:rPr>
            </w:pPr>
            <w:r>
              <w:rPr>
                <w:rFonts w:hint="eastAsia" w:ascii="宋体" w:hAnsi="宋体" w:eastAsia="宋体" w:cs="宋体"/>
                <w:i w:val="0"/>
                <w:color w:val="000000"/>
                <w:kern w:val="0"/>
                <w:sz w:val="18"/>
                <w:szCs w:val="18"/>
                <w:u w:val="none"/>
                <w:lang w:val="en-US" w:eastAsia="zh-CN" w:bidi="ar"/>
              </w:rPr>
              <w:t>残疾人基本康复服务</w:t>
            </w:r>
          </w:p>
        </w:tc>
        <w:tc>
          <w:tcPr>
            <w:tcW w:w="1099" w:type="dxa"/>
            <w:shd w:val="clear" w:color="auto" w:fill="auto"/>
            <w:vAlign w:val="center"/>
          </w:tcPr>
          <w:p>
            <w:pPr>
              <w:spacing w:line="300" w:lineRule="exact"/>
              <w:jc w:val="right"/>
              <w:rPr>
                <w:rFonts w:hint="default" w:ascii="仿宋_GB2312" w:hAnsi="仿宋" w:eastAsia="仿宋_GB2312"/>
                <w:szCs w:val="21"/>
                <w:lang w:val="en-US" w:eastAsia="zh-CN"/>
              </w:rPr>
            </w:pPr>
            <w:r>
              <w:rPr>
                <w:rFonts w:hint="eastAsia" w:ascii="仿宋_GB2312" w:hAnsi="仿宋" w:eastAsia="仿宋_GB2312"/>
                <w:szCs w:val="21"/>
                <w:lang w:val="en-US" w:eastAsia="zh-CN"/>
              </w:rPr>
              <w:t>41.98</w:t>
            </w:r>
          </w:p>
        </w:tc>
        <w:tc>
          <w:tcPr>
            <w:tcW w:w="974" w:type="dxa"/>
            <w:shd w:val="clear" w:color="auto" w:fill="auto"/>
            <w:vAlign w:val="center"/>
          </w:tcPr>
          <w:p>
            <w:pPr>
              <w:spacing w:line="300" w:lineRule="exact"/>
              <w:jc w:val="left"/>
              <w:rPr>
                <w:rFonts w:hint="eastAsia" w:ascii="仿宋_GB2312" w:hAnsi="仿宋" w:eastAsia="仿宋_GB2312"/>
                <w:szCs w:val="21"/>
              </w:rPr>
            </w:pPr>
            <w:r>
              <w:rPr>
                <w:rFonts w:hint="eastAsia" w:ascii="仿宋_GB2312" w:hAnsi="仿宋" w:eastAsia="仿宋_GB2312"/>
                <w:szCs w:val="21"/>
                <w:lang w:eastAsia="zh-CN"/>
              </w:rPr>
              <w:t>健康检查</w:t>
            </w:r>
            <w:r>
              <w:rPr>
                <w:rFonts w:hint="eastAsia" w:ascii="仿宋_GB2312" w:hAnsi="仿宋" w:eastAsia="仿宋_GB2312"/>
                <w:szCs w:val="21"/>
              </w:rPr>
              <w:t>服务</w:t>
            </w:r>
          </w:p>
        </w:tc>
        <w:tc>
          <w:tcPr>
            <w:tcW w:w="986" w:type="dxa"/>
            <w:shd w:val="clear" w:color="auto" w:fill="auto"/>
            <w:vAlign w:val="center"/>
          </w:tcPr>
          <w:p>
            <w:pPr>
              <w:keepNext w:val="0"/>
              <w:keepLines w:val="0"/>
              <w:widowControl/>
              <w:suppressLineNumbers w:val="0"/>
              <w:jc w:val="left"/>
              <w:textAlignment w:val="center"/>
              <w:rPr>
                <w:rFonts w:hint="eastAsia" w:ascii="仿宋_GB2312" w:hAnsi="仿宋" w:eastAsia="仿宋_GB2312"/>
                <w:szCs w:val="21"/>
              </w:rPr>
            </w:pPr>
            <w:r>
              <w:rPr>
                <w:rFonts w:hint="eastAsia" w:ascii="宋体" w:hAnsi="宋体" w:eastAsia="宋体" w:cs="宋体"/>
                <w:i w:val="0"/>
                <w:color w:val="000000"/>
                <w:kern w:val="0"/>
                <w:sz w:val="18"/>
                <w:szCs w:val="18"/>
                <w:u w:val="none"/>
                <w:lang w:val="en-US" w:eastAsia="zh-CN" w:bidi="ar"/>
              </w:rPr>
              <w:t>[C190107]</w:t>
            </w:r>
          </w:p>
        </w:tc>
        <w:tc>
          <w:tcPr>
            <w:tcW w:w="760" w:type="dxa"/>
            <w:shd w:val="clear" w:color="auto" w:fill="auto"/>
            <w:vAlign w:val="center"/>
          </w:tcPr>
          <w:p>
            <w:pPr>
              <w:spacing w:line="300" w:lineRule="exact"/>
              <w:jc w:val="left"/>
              <w:rPr>
                <w:rFonts w:hint="eastAsia" w:ascii="仿宋_GB2312" w:hAnsi="仿宋" w:eastAsia="仿宋_GB2312"/>
                <w:szCs w:val="21"/>
              </w:rPr>
            </w:pPr>
          </w:p>
        </w:tc>
        <w:tc>
          <w:tcPr>
            <w:tcW w:w="760" w:type="dxa"/>
            <w:shd w:val="clear" w:color="auto" w:fill="auto"/>
            <w:vAlign w:val="center"/>
          </w:tcPr>
          <w:p>
            <w:pPr>
              <w:spacing w:line="300" w:lineRule="exact"/>
              <w:jc w:val="right"/>
              <w:rPr>
                <w:rFonts w:hint="eastAsia" w:ascii="仿宋_GB2312" w:hAnsi="仿宋" w:eastAsia="仿宋_GB2312"/>
                <w:szCs w:val="21"/>
              </w:rPr>
            </w:pPr>
            <w:r>
              <w:rPr>
                <w:rFonts w:hint="eastAsia" w:ascii="仿宋_GB2312" w:hAnsi="仿宋" w:eastAsia="仿宋_GB2312"/>
                <w:szCs w:val="21"/>
              </w:rPr>
              <w:t>1.00</w:t>
            </w:r>
          </w:p>
        </w:tc>
        <w:tc>
          <w:tcPr>
            <w:tcW w:w="848" w:type="dxa"/>
            <w:shd w:val="clear" w:color="auto" w:fill="auto"/>
            <w:vAlign w:val="center"/>
          </w:tcPr>
          <w:p>
            <w:pPr>
              <w:spacing w:line="300" w:lineRule="exact"/>
              <w:jc w:val="right"/>
              <w:rPr>
                <w:rFonts w:hint="eastAsia" w:ascii="仿宋_GB2312" w:hAnsi="仿宋" w:eastAsia="仿宋_GB2312"/>
                <w:szCs w:val="21"/>
              </w:rPr>
            </w:pPr>
            <w:r>
              <w:rPr>
                <w:rFonts w:hint="eastAsia" w:ascii="仿宋_GB2312" w:hAnsi="仿宋" w:eastAsia="仿宋_GB2312"/>
                <w:szCs w:val="21"/>
                <w:lang w:val="en-US" w:eastAsia="zh-CN"/>
              </w:rPr>
              <w:t>41.98</w:t>
            </w:r>
          </w:p>
        </w:tc>
        <w:tc>
          <w:tcPr>
            <w:tcW w:w="961" w:type="dxa"/>
            <w:shd w:val="clear" w:color="auto" w:fill="auto"/>
            <w:vAlign w:val="center"/>
          </w:tcPr>
          <w:p>
            <w:pPr>
              <w:spacing w:line="300" w:lineRule="exact"/>
              <w:jc w:val="right"/>
              <w:rPr>
                <w:rFonts w:hint="eastAsia" w:ascii="仿宋_GB2312" w:hAnsi="仿宋" w:eastAsia="仿宋_GB2312"/>
                <w:szCs w:val="21"/>
              </w:rPr>
            </w:pPr>
            <w:r>
              <w:rPr>
                <w:rFonts w:hint="eastAsia" w:ascii="仿宋_GB2312" w:hAnsi="仿宋" w:eastAsia="仿宋_GB2312"/>
                <w:szCs w:val="21"/>
                <w:lang w:val="en-US" w:eastAsia="zh-CN"/>
              </w:rPr>
              <w:t>41.98</w:t>
            </w:r>
          </w:p>
        </w:tc>
        <w:tc>
          <w:tcPr>
            <w:tcW w:w="961" w:type="dxa"/>
            <w:shd w:val="clear" w:color="auto" w:fill="auto"/>
            <w:vAlign w:val="center"/>
          </w:tcPr>
          <w:p>
            <w:pPr>
              <w:spacing w:line="300" w:lineRule="exact"/>
              <w:jc w:val="right"/>
              <w:rPr>
                <w:rFonts w:hint="eastAsia" w:ascii="仿宋_GB2312" w:hAnsi="仿宋" w:eastAsia="仿宋_GB2312"/>
                <w:szCs w:val="21"/>
              </w:rPr>
            </w:pPr>
            <w:r>
              <w:rPr>
                <w:rFonts w:hint="eastAsia" w:ascii="仿宋_GB2312" w:hAnsi="仿宋" w:eastAsia="仿宋_GB2312"/>
                <w:szCs w:val="21"/>
                <w:lang w:val="en-US" w:eastAsia="zh-CN"/>
              </w:rPr>
              <w:t>41.98</w:t>
            </w:r>
          </w:p>
        </w:tc>
        <w:tc>
          <w:tcPr>
            <w:tcW w:w="961" w:type="dxa"/>
            <w:shd w:val="clear" w:color="auto" w:fill="auto"/>
            <w:vAlign w:val="center"/>
          </w:tcPr>
          <w:p>
            <w:pPr>
              <w:spacing w:line="300" w:lineRule="exact"/>
              <w:jc w:val="right"/>
              <w:rPr>
                <w:rFonts w:hint="default" w:ascii="仿宋_GB2312" w:hAnsi="仿宋" w:eastAsia="仿宋_GB2312"/>
                <w:szCs w:val="21"/>
                <w:lang w:val="en-US" w:eastAsia="zh-CN"/>
              </w:rPr>
            </w:pPr>
            <w:r>
              <w:rPr>
                <w:rFonts w:hint="eastAsia" w:ascii="仿宋_GB2312" w:hAnsi="仿宋" w:eastAsia="仿宋_GB2312"/>
                <w:szCs w:val="21"/>
                <w:lang w:val="en-US" w:eastAsia="zh-CN"/>
              </w:rPr>
              <w:t>41.98</w:t>
            </w:r>
          </w:p>
        </w:tc>
        <w:tc>
          <w:tcPr>
            <w:tcW w:w="961" w:type="dxa"/>
            <w:shd w:val="clear" w:color="auto" w:fill="auto"/>
            <w:vAlign w:val="center"/>
          </w:tcPr>
          <w:p>
            <w:pPr>
              <w:spacing w:line="300" w:lineRule="exact"/>
              <w:jc w:val="right"/>
              <w:rPr>
                <w:rFonts w:ascii="仿宋" w:hAnsi="仿宋" w:eastAsia="仿宋"/>
                <w:sz w:val="30"/>
                <w:szCs w:val="30"/>
              </w:rPr>
            </w:pPr>
          </w:p>
        </w:tc>
        <w:tc>
          <w:tcPr>
            <w:tcW w:w="964" w:type="dxa"/>
            <w:shd w:val="clear" w:color="auto" w:fill="auto"/>
            <w:vAlign w:val="center"/>
          </w:tcPr>
          <w:p>
            <w:pPr>
              <w:spacing w:line="300" w:lineRule="exact"/>
              <w:jc w:val="right"/>
              <w:rPr>
                <w:rFonts w:ascii="仿宋" w:hAnsi="仿宋" w:eastAsia="仿宋"/>
                <w:sz w:val="30"/>
                <w:szCs w:val="30"/>
              </w:rPr>
            </w:pPr>
          </w:p>
        </w:tc>
        <w:tc>
          <w:tcPr>
            <w:tcW w:w="964" w:type="dxa"/>
            <w:shd w:val="clear" w:color="auto" w:fill="auto"/>
            <w:vAlign w:val="center"/>
          </w:tcPr>
          <w:p>
            <w:pPr>
              <w:spacing w:line="300" w:lineRule="exact"/>
              <w:jc w:val="right"/>
              <w:rPr>
                <w:rFonts w:ascii="仿宋" w:hAnsi="仿宋" w:eastAsia="仿宋"/>
                <w:sz w:val="30"/>
                <w:szCs w:val="30"/>
              </w:rPr>
            </w:pPr>
          </w:p>
        </w:tc>
        <w:tc>
          <w:tcPr>
            <w:tcW w:w="92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2448" w:type="dxa"/>
            <w:shd w:val="clear" w:color="auto" w:fill="auto"/>
            <w:vAlign w:val="center"/>
          </w:tcPr>
          <w:p>
            <w:pPr>
              <w:keepNext w:val="0"/>
              <w:keepLines w:val="0"/>
              <w:widowControl/>
              <w:suppressLineNumbers w:val="0"/>
              <w:jc w:val="left"/>
              <w:textAlignment w:val="center"/>
              <w:rPr>
                <w:rFonts w:hint="eastAsia" w:ascii="仿宋_GB2312" w:hAnsi="仿宋" w:eastAsia="仿宋_GB2312"/>
                <w:szCs w:val="21"/>
              </w:rPr>
            </w:pPr>
            <w:r>
              <w:rPr>
                <w:rFonts w:hint="eastAsia" w:ascii="宋体" w:hAnsi="宋体" w:eastAsia="宋体" w:cs="宋体"/>
                <w:i w:val="0"/>
                <w:color w:val="000000"/>
                <w:kern w:val="0"/>
                <w:sz w:val="18"/>
                <w:szCs w:val="18"/>
                <w:u w:val="none"/>
                <w:lang w:val="en-US" w:eastAsia="zh-CN" w:bidi="ar"/>
              </w:rPr>
              <w:t>残疾人实用技术培训费</w:t>
            </w:r>
          </w:p>
        </w:tc>
        <w:tc>
          <w:tcPr>
            <w:tcW w:w="1099" w:type="dxa"/>
            <w:shd w:val="clear" w:color="auto" w:fill="auto"/>
            <w:vAlign w:val="center"/>
          </w:tcPr>
          <w:p>
            <w:pPr>
              <w:spacing w:line="300" w:lineRule="exact"/>
              <w:jc w:val="right"/>
              <w:rPr>
                <w:rFonts w:hint="default" w:ascii="仿宋_GB2312" w:hAnsi="仿宋" w:eastAsia="仿宋_GB2312"/>
                <w:szCs w:val="21"/>
                <w:lang w:val="en-US" w:eastAsia="zh-CN"/>
              </w:rPr>
            </w:pPr>
            <w:r>
              <w:rPr>
                <w:rFonts w:hint="eastAsia" w:ascii="仿宋_GB2312" w:hAnsi="仿宋" w:eastAsia="仿宋_GB2312"/>
                <w:szCs w:val="21"/>
                <w:lang w:val="en-US" w:eastAsia="zh-CN"/>
              </w:rPr>
              <w:t>4.85</w:t>
            </w:r>
          </w:p>
        </w:tc>
        <w:tc>
          <w:tcPr>
            <w:tcW w:w="974" w:type="dxa"/>
            <w:shd w:val="clear" w:color="auto" w:fill="auto"/>
            <w:vAlign w:val="center"/>
          </w:tcPr>
          <w:p>
            <w:pPr>
              <w:spacing w:line="300" w:lineRule="exact"/>
              <w:jc w:val="left"/>
              <w:rPr>
                <w:rFonts w:hint="eastAsia" w:ascii="仿宋_GB2312" w:hAnsi="仿宋" w:eastAsia="仿宋_GB2312"/>
                <w:szCs w:val="21"/>
              </w:rPr>
            </w:pPr>
            <w:r>
              <w:rPr>
                <w:rFonts w:hint="eastAsia" w:ascii="仿宋_GB2312" w:hAnsi="仿宋" w:eastAsia="仿宋_GB2312"/>
                <w:szCs w:val="21"/>
                <w:lang w:eastAsia="zh-CN"/>
              </w:rPr>
              <w:t>就业</w:t>
            </w:r>
            <w:r>
              <w:rPr>
                <w:rFonts w:hint="eastAsia" w:ascii="仿宋_GB2312" w:hAnsi="仿宋" w:eastAsia="仿宋_GB2312"/>
                <w:szCs w:val="21"/>
              </w:rPr>
              <w:t>服务</w:t>
            </w:r>
          </w:p>
        </w:tc>
        <w:tc>
          <w:tcPr>
            <w:tcW w:w="986" w:type="dxa"/>
            <w:shd w:val="clear" w:color="auto" w:fill="auto"/>
            <w:vAlign w:val="center"/>
          </w:tcPr>
          <w:p>
            <w:pPr>
              <w:keepNext w:val="0"/>
              <w:keepLines w:val="0"/>
              <w:widowControl/>
              <w:suppressLineNumbers w:val="0"/>
              <w:jc w:val="left"/>
              <w:textAlignment w:val="center"/>
              <w:rPr>
                <w:rFonts w:hint="eastAsia" w:ascii="仿宋_GB2312" w:hAnsi="仿宋" w:eastAsia="仿宋_GB2312"/>
                <w:szCs w:val="21"/>
              </w:rPr>
            </w:pPr>
            <w:r>
              <w:rPr>
                <w:rFonts w:hint="eastAsia" w:ascii="宋体" w:hAnsi="宋体" w:eastAsia="宋体" w:cs="宋体"/>
                <w:i w:val="0"/>
                <w:color w:val="000000"/>
                <w:kern w:val="0"/>
                <w:sz w:val="18"/>
                <w:szCs w:val="18"/>
                <w:u w:val="none"/>
                <w:lang w:val="en-US" w:eastAsia="zh-CN" w:bidi="ar"/>
              </w:rPr>
              <w:t>[C190203]</w:t>
            </w:r>
          </w:p>
        </w:tc>
        <w:tc>
          <w:tcPr>
            <w:tcW w:w="760" w:type="dxa"/>
            <w:shd w:val="clear" w:color="auto" w:fill="auto"/>
            <w:vAlign w:val="center"/>
          </w:tcPr>
          <w:p>
            <w:pPr>
              <w:spacing w:line="300" w:lineRule="exact"/>
              <w:jc w:val="left"/>
              <w:rPr>
                <w:rFonts w:hint="eastAsia" w:ascii="仿宋_GB2312" w:hAnsi="仿宋" w:eastAsia="仿宋_GB2312"/>
                <w:szCs w:val="21"/>
              </w:rPr>
            </w:pPr>
          </w:p>
        </w:tc>
        <w:tc>
          <w:tcPr>
            <w:tcW w:w="760" w:type="dxa"/>
            <w:shd w:val="clear" w:color="auto" w:fill="auto"/>
            <w:vAlign w:val="center"/>
          </w:tcPr>
          <w:p>
            <w:pPr>
              <w:spacing w:line="300" w:lineRule="exact"/>
              <w:jc w:val="right"/>
              <w:rPr>
                <w:rFonts w:hint="eastAsia" w:ascii="仿宋_GB2312" w:hAnsi="仿宋" w:eastAsia="仿宋_GB2312"/>
                <w:szCs w:val="21"/>
              </w:rPr>
            </w:pPr>
            <w:r>
              <w:rPr>
                <w:rFonts w:hint="eastAsia" w:ascii="仿宋_GB2312" w:hAnsi="仿宋" w:eastAsia="仿宋_GB2312"/>
                <w:szCs w:val="21"/>
              </w:rPr>
              <w:t>1.00</w:t>
            </w:r>
          </w:p>
        </w:tc>
        <w:tc>
          <w:tcPr>
            <w:tcW w:w="848" w:type="dxa"/>
            <w:shd w:val="clear" w:color="auto" w:fill="auto"/>
            <w:vAlign w:val="center"/>
          </w:tcPr>
          <w:p>
            <w:pPr>
              <w:spacing w:line="300" w:lineRule="exact"/>
              <w:jc w:val="right"/>
              <w:rPr>
                <w:rFonts w:hint="eastAsia" w:ascii="仿宋_GB2312" w:hAnsi="仿宋" w:eastAsia="仿宋_GB2312"/>
                <w:szCs w:val="21"/>
              </w:rPr>
            </w:pPr>
            <w:r>
              <w:rPr>
                <w:rFonts w:hint="eastAsia" w:ascii="仿宋_GB2312" w:hAnsi="仿宋" w:eastAsia="仿宋_GB2312"/>
                <w:szCs w:val="21"/>
                <w:lang w:val="en-US" w:eastAsia="zh-CN"/>
              </w:rPr>
              <w:t>4.85</w:t>
            </w:r>
          </w:p>
        </w:tc>
        <w:tc>
          <w:tcPr>
            <w:tcW w:w="961" w:type="dxa"/>
            <w:shd w:val="clear" w:color="auto" w:fill="auto"/>
            <w:vAlign w:val="center"/>
          </w:tcPr>
          <w:p>
            <w:pPr>
              <w:spacing w:line="300" w:lineRule="exact"/>
              <w:ind w:right="210"/>
              <w:jc w:val="right"/>
              <w:rPr>
                <w:rFonts w:hint="eastAsia" w:ascii="仿宋_GB2312" w:hAnsi="仿宋" w:eastAsia="仿宋_GB2312"/>
                <w:szCs w:val="21"/>
              </w:rPr>
            </w:pPr>
            <w:r>
              <w:rPr>
                <w:rFonts w:hint="eastAsia" w:ascii="仿宋_GB2312" w:hAnsi="仿宋" w:eastAsia="仿宋_GB2312"/>
                <w:szCs w:val="21"/>
                <w:lang w:val="en-US" w:eastAsia="zh-CN"/>
              </w:rPr>
              <w:t>4.85</w:t>
            </w:r>
          </w:p>
        </w:tc>
        <w:tc>
          <w:tcPr>
            <w:tcW w:w="961" w:type="dxa"/>
            <w:shd w:val="clear" w:color="auto" w:fill="auto"/>
            <w:vAlign w:val="center"/>
          </w:tcPr>
          <w:p>
            <w:pPr>
              <w:spacing w:line="300" w:lineRule="exact"/>
              <w:jc w:val="right"/>
              <w:rPr>
                <w:rFonts w:hint="eastAsia" w:ascii="仿宋_GB2312" w:hAnsi="仿宋" w:eastAsia="仿宋_GB2312"/>
                <w:szCs w:val="21"/>
              </w:rPr>
            </w:pPr>
            <w:r>
              <w:rPr>
                <w:rFonts w:hint="eastAsia" w:ascii="仿宋_GB2312" w:hAnsi="仿宋" w:eastAsia="仿宋_GB2312"/>
                <w:szCs w:val="21"/>
                <w:lang w:val="en-US" w:eastAsia="zh-CN"/>
              </w:rPr>
              <w:t>4.85</w:t>
            </w:r>
          </w:p>
        </w:tc>
        <w:tc>
          <w:tcPr>
            <w:tcW w:w="961" w:type="dxa"/>
            <w:shd w:val="clear" w:color="auto" w:fill="auto"/>
            <w:vAlign w:val="center"/>
          </w:tcPr>
          <w:p>
            <w:pPr>
              <w:spacing w:line="300" w:lineRule="exact"/>
              <w:jc w:val="right"/>
              <w:rPr>
                <w:rFonts w:hint="default" w:ascii="仿宋_GB2312" w:hAnsi="仿宋" w:eastAsia="仿宋_GB2312"/>
                <w:szCs w:val="21"/>
                <w:lang w:val="en-US" w:eastAsia="zh-CN"/>
              </w:rPr>
            </w:pPr>
            <w:r>
              <w:rPr>
                <w:rFonts w:hint="eastAsia" w:ascii="仿宋_GB2312" w:hAnsi="仿宋" w:eastAsia="仿宋_GB2312"/>
                <w:szCs w:val="21"/>
                <w:lang w:val="en-US" w:eastAsia="zh-CN"/>
              </w:rPr>
              <w:t>4.85</w:t>
            </w:r>
          </w:p>
        </w:tc>
        <w:tc>
          <w:tcPr>
            <w:tcW w:w="961" w:type="dxa"/>
            <w:shd w:val="clear" w:color="auto" w:fill="auto"/>
            <w:vAlign w:val="center"/>
          </w:tcPr>
          <w:p>
            <w:pPr>
              <w:spacing w:line="300" w:lineRule="exact"/>
              <w:jc w:val="right"/>
              <w:rPr>
                <w:rFonts w:ascii="仿宋" w:hAnsi="仿宋" w:eastAsia="仿宋"/>
                <w:sz w:val="30"/>
                <w:szCs w:val="30"/>
              </w:rPr>
            </w:pPr>
          </w:p>
        </w:tc>
        <w:tc>
          <w:tcPr>
            <w:tcW w:w="964" w:type="dxa"/>
            <w:shd w:val="clear" w:color="auto" w:fill="auto"/>
            <w:vAlign w:val="center"/>
          </w:tcPr>
          <w:p>
            <w:pPr>
              <w:spacing w:line="300" w:lineRule="exact"/>
              <w:jc w:val="right"/>
              <w:rPr>
                <w:rFonts w:ascii="仿宋" w:hAnsi="仿宋" w:eastAsia="仿宋"/>
                <w:sz w:val="30"/>
                <w:szCs w:val="30"/>
              </w:rPr>
            </w:pPr>
          </w:p>
        </w:tc>
        <w:tc>
          <w:tcPr>
            <w:tcW w:w="964" w:type="dxa"/>
            <w:shd w:val="clear" w:color="auto" w:fill="auto"/>
            <w:vAlign w:val="center"/>
          </w:tcPr>
          <w:p>
            <w:pPr>
              <w:spacing w:line="300" w:lineRule="exact"/>
              <w:jc w:val="right"/>
              <w:rPr>
                <w:rFonts w:ascii="仿宋" w:hAnsi="仿宋" w:eastAsia="仿宋"/>
                <w:sz w:val="30"/>
                <w:szCs w:val="30"/>
              </w:rPr>
            </w:pPr>
          </w:p>
        </w:tc>
        <w:tc>
          <w:tcPr>
            <w:tcW w:w="92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2448" w:type="dxa"/>
            <w:shd w:val="clear" w:color="auto" w:fill="auto"/>
            <w:vAlign w:val="center"/>
          </w:tcPr>
          <w:p>
            <w:pPr>
              <w:spacing w:line="300" w:lineRule="exact"/>
              <w:jc w:val="left"/>
              <w:rPr>
                <w:rFonts w:hint="eastAsia" w:ascii="仿宋_GB2312" w:hAnsi="仿宋" w:eastAsia="仿宋_GB2312"/>
                <w:szCs w:val="21"/>
              </w:rPr>
            </w:pPr>
            <w:r>
              <w:rPr>
                <w:rFonts w:hint="eastAsia" w:ascii="仿宋_GB2312" w:hAnsi="仿宋" w:eastAsia="仿宋_GB2312"/>
                <w:szCs w:val="21"/>
              </w:rPr>
              <w:t>残疾人基本服务状况数据更新费</w:t>
            </w:r>
          </w:p>
        </w:tc>
        <w:tc>
          <w:tcPr>
            <w:tcW w:w="1099" w:type="dxa"/>
            <w:shd w:val="clear" w:color="auto" w:fill="auto"/>
            <w:vAlign w:val="center"/>
          </w:tcPr>
          <w:p>
            <w:pPr>
              <w:spacing w:line="300" w:lineRule="exact"/>
              <w:jc w:val="right"/>
              <w:rPr>
                <w:rFonts w:hint="eastAsia" w:ascii="仿宋_GB2312" w:hAnsi="仿宋" w:eastAsia="仿宋_GB2312"/>
                <w:szCs w:val="21"/>
              </w:rPr>
            </w:pPr>
            <w:r>
              <w:rPr>
                <w:rFonts w:hint="eastAsia" w:ascii="仿宋_GB2312" w:hAnsi="仿宋" w:eastAsia="仿宋_GB2312"/>
                <w:szCs w:val="21"/>
              </w:rPr>
              <w:t>3</w:t>
            </w:r>
          </w:p>
        </w:tc>
        <w:tc>
          <w:tcPr>
            <w:tcW w:w="974" w:type="dxa"/>
            <w:shd w:val="clear" w:color="auto" w:fill="auto"/>
            <w:vAlign w:val="center"/>
          </w:tcPr>
          <w:p>
            <w:pPr>
              <w:spacing w:line="300" w:lineRule="exact"/>
              <w:jc w:val="left"/>
              <w:rPr>
                <w:rFonts w:hint="eastAsia" w:ascii="仿宋_GB2312" w:hAnsi="仿宋" w:eastAsia="仿宋_GB2312"/>
                <w:szCs w:val="21"/>
              </w:rPr>
            </w:pPr>
            <w:r>
              <w:rPr>
                <w:rFonts w:hint="eastAsia" w:ascii="仿宋_GB2312" w:hAnsi="仿宋" w:eastAsia="仿宋_GB2312"/>
                <w:szCs w:val="21"/>
              </w:rPr>
              <w:t>印刷品</w:t>
            </w:r>
          </w:p>
        </w:tc>
        <w:tc>
          <w:tcPr>
            <w:tcW w:w="986" w:type="dxa"/>
            <w:shd w:val="clear" w:color="auto" w:fill="auto"/>
            <w:vAlign w:val="center"/>
          </w:tcPr>
          <w:p>
            <w:pPr>
              <w:keepNext w:val="0"/>
              <w:keepLines w:val="0"/>
              <w:widowControl/>
              <w:suppressLineNumbers w:val="0"/>
              <w:jc w:val="left"/>
              <w:textAlignment w:val="center"/>
              <w:rPr>
                <w:rFonts w:hint="eastAsia" w:ascii="仿宋_GB2312" w:hAnsi="仿宋" w:eastAsia="仿宋_GB2312"/>
                <w:szCs w:val="21"/>
              </w:rPr>
            </w:pPr>
            <w:r>
              <w:rPr>
                <w:rFonts w:hint="eastAsia" w:ascii="宋体" w:hAnsi="宋体" w:eastAsia="宋体" w:cs="宋体"/>
                <w:i w:val="0"/>
                <w:color w:val="000000"/>
                <w:kern w:val="0"/>
                <w:sz w:val="18"/>
                <w:szCs w:val="18"/>
                <w:u w:val="none"/>
                <w:lang w:val="en-US" w:eastAsia="zh-CN" w:bidi="ar"/>
              </w:rPr>
              <w:t>[A080299]</w:t>
            </w:r>
          </w:p>
        </w:tc>
        <w:tc>
          <w:tcPr>
            <w:tcW w:w="760" w:type="dxa"/>
            <w:shd w:val="clear" w:color="auto" w:fill="auto"/>
            <w:vAlign w:val="center"/>
          </w:tcPr>
          <w:p>
            <w:pPr>
              <w:spacing w:line="300" w:lineRule="exact"/>
              <w:jc w:val="left"/>
              <w:rPr>
                <w:rFonts w:hint="eastAsia" w:ascii="仿宋_GB2312" w:hAnsi="仿宋" w:eastAsia="仿宋_GB2312"/>
                <w:szCs w:val="21"/>
              </w:rPr>
            </w:pPr>
          </w:p>
        </w:tc>
        <w:tc>
          <w:tcPr>
            <w:tcW w:w="760" w:type="dxa"/>
            <w:shd w:val="clear" w:color="auto" w:fill="auto"/>
            <w:vAlign w:val="center"/>
          </w:tcPr>
          <w:p>
            <w:pPr>
              <w:spacing w:line="300" w:lineRule="exact"/>
              <w:jc w:val="right"/>
              <w:rPr>
                <w:rFonts w:hint="eastAsia" w:ascii="仿宋_GB2312" w:hAnsi="仿宋" w:eastAsia="仿宋_GB2312"/>
                <w:szCs w:val="21"/>
              </w:rPr>
            </w:pPr>
            <w:r>
              <w:rPr>
                <w:rFonts w:hint="eastAsia" w:ascii="仿宋_GB2312" w:hAnsi="仿宋" w:eastAsia="仿宋_GB2312"/>
                <w:szCs w:val="21"/>
              </w:rPr>
              <w:t>1.00</w:t>
            </w:r>
          </w:p>
        </w:tc>
        <w:tc>
          <w:tcPr>
            <w:tcW w:w="848" w:type="dxa"/>
            <w:shd w:val="clear" w:color="auto" w:fill="auto"/>
            <w:vAlign w:val="center"/>
          </w:tcPr>
          <w:p>
            <w:pPr>
              <w:spacing w:line="300" w:lineRule="exact"/>
              <w:jc w:val="right"/>
              <w:rPr>
                <w:rFonts w:hint="eastAsia" w:ascii="仿宋_GB2312" w:hAnsi="仿宋" w:eastAsia="仿宋_GB2312"/>
                <w:szCs w:val="21"/>
              </w:rPr>
            </w:pPr>
            <w:r>
              <w:rPr>
                <w:rFonts w:hint="eastAsia" w:ascii="仿宋_GB2312" w:hAnsi="仿宋" w:eastAsia="仿宋_GB2312"/>
                <w:szCs w:val="21"/>
                <w:lang w:val="en-US" w:eastAsia="zh-CN"/>
              </w:rPr>
              <w:t>3</w:t>
            </w:r>
          </w:p>
        </w:tc>
        <w:tc>
          <w:tcPr>
            <w:tcW w:w="961" w:type="dxa"/>
            <w:shd w:val="clear" w:color="auto" w:fill="auto"/>
            <w:vAlign w:val="center"/>
          </w:tcPr>
          <w:p>
            <w:pPr>
              <w:spacing w:line="300" w:lineRule="exact"/>
              <w:jc w:val="right"/>
              <w:rPr>
                <w:rFonts w:hint="eastAsia" w:ascii="仿宋_GB2312" w:hAnsi="仿宋" w:eastAsia="仿宋_GB2312"/>
                <w:szCs w:val="21"/>
              </w:rPr>
            </w:pPr>
            <w:r>
              <w:rPr>
                <w:rFonts w:hint="eastAsia" w:ascii="仿宋_GB2312" w:hAnsi="仿宋" w:eastAsia="仿宋_GB2312"/>
                <w:szCs w:val="21"/>
                <w:lang w:val="en-US" w:eastAsia="zh-CN"/>
              </w:rPr>
              <w:t>3</w:t>
            </w:r>
          </w:p>
        </w:tc>
        <w:tc>
          <w:tcPr>
            <w:tcW w:w="961" w:type="dxa"/>
            <w:shd w:val="clear" w:color="auto" w:fill="auto"/>
            <w:vAlign w:val="center"/>
          </w:tcPr>
          <w:p>
            <w:pPr>
              <w:spacing w:line="300" w:lineRule="exact"/>
              <w:jc w:val="right"/>
              <w:rPr>
                <w:rFonts w:hint="eastAsia" w:ascii="仿宋_GB2312" w:hAnsi="仿宋" w:eastAsia="仿宋_GB2312"/>
                <w:szCs w:val="21"/>
              </w:rPr>
            </w:pPr>
            <w:r>
              <w:rPr>
                <w:rFonts w:hint="eastAsia" w:ascii="仿宋_GB2312" w:hAnsi="仿宋" w:eastAsia="仿宋_GB2312"/>
                <w:szCs w:val="21"/>
                <w:lang w:val="en-US" w:eastAsia="zh-CN"/>
              </w:rPr>
              <w:t>3</w:t>
            </w:r>
          </w:p>
        </w:tc>
        <w:tc>
          <w:tcPr>
            <w:tcW w:w="961" w:type="dxa"/>
            <w:shd w:val="clear" w:color="auto" w:fill="auto"/>
            <w:vAlign w:val="center"/>
          </w:tcPr>
          <w:p>
            <w:pPr>
              <w:spacing w:line="300" w:lineRule="exact"/>
              <w:jc w:val="right"/>
              <w:rPr>
                <w:rFonts w:hint="eastAsia" w:ascii="仿宋_GB2312" w:hAnsi="仿宋" w:eastAsia="仿宋_GB2312"/>
                <w:szCs w:val="21"/>
                <w:lang w:val="en-US" w:eastAsia="zh-CN"/>
              </w:rPr>
            </w:pPr>
            <w:r>
              <w:rPr>
                <w:rFonts w:hint="eastAsia" w:ascii="仿宋_GB2312" w:hAnsi="仿宋" w:eastAsia="仿宋_GB2312"/>
                <w:szCs w:val="21"/>
                <w:lang w:val="en-US" w:eastAsia="zh-CN"/>
              </w:rPr>
              <w:t>3</w:t>
            </w:r>
          </w:p>
        </w:tc>
        <w:tc>
          <w:tcPr>
            <w:tcW w:w="961" w:type="dxa"/>
            <w:shd w:val="clear" w:color="auto" w:fill="auto"/>
            <w:vAlign w:val="center"/>
          </w:tcPr>
          <w:p>
            <w:pPr>
              <w:spacing w:line="300" w:lineRule="exact"/>
              <w:jc w:val="right"/>
              <w:rPr>
                <w:rFonts w:ascii="仿宋" w:hAnsi="仿宋" w:eastAsia="仿宋"/>
                <w:sz w:val="30"/>
                <w:szCs w:val="30"/>
              </w:rPr>
            </w:pPr>
          </w:p>
        </w:tc>
        <w:tc>
          <w:tcPr>
            <w:tcW w:w="964" w:type="dxa"/>
            <w:shd w:val="clear" w:color="auto" w:fill="auto"/>
            <w:vAlign w:val="center"/>
          </w:tcPr>
          <w:p>
            <w:pPr>
              <w:spacing w:line="300" w:lineRule="exact"/>
              <w:jc w:val="right"/>
              <w:rPr>
                <w:rFonts w:ascii="仿宋" w:hAnsi="仿宋" w:eastAsia="仿宋"/>
                <w:sz w:val="30"/>
                <w:szCs w:val="30"/>
              </w:rPr>
            </w:pPr>
          </w:p>
        </w:tc>
        <w:tc>
          <w:tcPr>
            <w:tcW w:w="964" w:type="dxa"/>
            <w:shd w:val="clear" w:color="auto" w:fill="auto"/>
            <w:vAlign w:val="center"/>
          </w:tcPr>
          <w:p>
            <w:pPr>
              <w:spacing w:line="300" w:lineRule="exact"/>
              <w:jc w:val="right"/>
              <w:rPr>
                <w:rFonts w:ascii="仿宋" w:hAnsi="仿宋" w:eastAsia="仿宋"/>
                <w:sz w:val="30"/>
                <w:szCs w:val="30"/>
              </w:rPr>
            </w:pPr>
          </w:p>
        </w:tc>
        <w:tc>
          <w:tcPr>
            <w:tcW w:w="92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89" w:hRule="atLeast"/>
          <w:jc w:val="center"/>
        </w:trPr>
        <w:tc>
          <w:tcPr>
            <w:tcW w:w="2448" w:type="dxa"/>
            <w:shd w:val="clear" w:color="auto" w:fill="auto"/>
            <w:vAlign w:val="center"/>
          </w:tcPr>
          <w:p>
            <w:pPr>
              <w:spacing w:line="300" w:lineRule="exact"/>
              <w:jc w:val="left"/>
              <w:rPr>
                <w:rFonts w:hint="eastAsia" w:ascii="仿宋_GB2312" w:hAnsi="仿宋" w:eastAsia="仿宋_GB2312"/>
                <w:szCs w:val="21"/>
                <w:lang w:eastAsia="zh-CN"/>
              </w:rPr>
            </w:pPr>
            <w:r>
              <w:rPr>
                <w:rFonts w:hint="eastAsia" w:ascii="仿宋_GB2312" w:hAnsi="仿宋" w:eastAsia="仿宋_GB2312"/>
                <w:szCs w:val="21"/>
                <w:lang w:eastAsia="zh-CN"/>
              </w:rPr>
              <w:t>残联日常公用经费</w:t>
            </w:r>
          </w:p>
        </w:tc>
        <w:tc>
          <w:tcPr>
            <w:tcW w:w="1099" w:type="dxa"/>
            <w:shd w:val="clear" w:color="auto" w:fill="auto"/>
            <w:vAlign w:val="center"/>
          </w:tcPr>
          <w:p>
            <w:pPr>
              <w:spacing w:line="300" w:lineRule="exact"/>
              <w:jc w:val="right"/>
              <w:rPr>
                <w:rFonts w:hint="default" w:ascii="仿宋_GB2312" w:hAnsi="仿宋" w:eastAsia="仿宋_GB2312"/>
                <w:szCs w:val="21"/>
                <w:lang w:val="en-US" w:eastAsia="zh-CN"/>
              </w:rPr>
            </w:pPr>
            <w:r>
              <w:rPr>
                <w:rFonts w:hint="eastAsia" w:ascii="仿宋_GB2312" w:hAnsi="仿宋" w:eastAsia="仿宋_GB2312"/>
                <w:szCs w:val="21"/>
                <w:lang w:val="en-US" w:eastAsia="zh-CN"/>
              </w:rPr>
              <w:t>1.28</w:t>
            </w:r>
          </w:p>
        </w:tc>
        <w:tc>
          <w:tcPr>
            <w:tcW w:w="974" w:type="dxa"/>
            <w:shd w:val="clear" w:color="auto" w:fill="auto"/>
            <w:vAlign w:val="center"/>
          </w:tcPr>
          <w:p>
            <w:pPr>
              <w:spacing w:line="300" w:lineRule="exact"/>
              <w:jc w:val="left"/>
              <w:rPr>
                <w:rFonts w:hint="eastAsia" w:ascii="仿宋_GB2312" w:hAnsi="仿宋" w:eastAsia="仿宋_GB2312"/>
                <w:szCs w:val="21"/>
              </w:rPr>
            </w:pPr>
            <w:r>
              <w:rPr>
                <w:rFonts w:hint="eastAsia" w:ascii="仿宋_GB2312" w:hAnsi="仿宋" w:eastAsia="仿宋_GB2312"/>
                <w:szCs w:val="21"/>
              </w:rPr>
              <w:t>办公消耗用品及类似物品</w:t>
            </w:r>
          </w:p>
        </w:tc>
        <w:tc>
          <w:tcPr>
            <w:tcW w:w="986" w:type="dxa"/>
            <w:shd w:val="clear" w:color="auto" w:fill="auto"/>
            <w:vAlign w:val="center"/>
          </w:tcPr>
          <w:p>
            <w:pPr>
              <w:spacing w:line="300" w:lineRule="exact"/>
              <w:jc w:val="left"/>
              <w:rPr>
                <w:rFonts w:hint="eastAsia" w:ascii="仿宋_GB2312" w:hAnsi="仿宋" w:eastAsia="仿宋_GB2312"/>
                <w:szCs w:val="21"/>
              </w:rPr>
            </w:pPr>
            <w:r>
              <w:rPr>
                <w:rFonts w:hint="eastAsia" w:ascii="仿宋_GB2312" w:hAnsi="仿宋" w:eastAsia="仿宋_GB2312"/>
                <w:szCs w:val="21"/>
              </w:rPr>
              <w:t>A09</w:t>
            </w:r>
          </w:p>
        </w:tc>
        <w:tc>
          <w:tcPr>
            <w:tcW w:w="760" w:type="dxa"/>
            <w:shd w:val="clear" w:color="auto" w:fill="auto"/>
            <w:vAlign w:val="center"/>
          </w:tcPr>
          <w:p>
            <w:pPr>
              <w:spacing w:line="300" w:lineRule="exact"/>
              <w:jc w:val="left"/>
              <w:rPr>
                <w:rFonts w:hint="eastAsia" w:ascii="仿宋_GB2312" w:hAnsi="仿宋" w:eastAsia="仿宋_GB2312"/>
                <w:szCs w:val="21"/>
              </w:rPr>
            </w:pPr>
          </w:p>
        </w:tc>
        <w:tc>
          <w:tcPr>
            <w:tcW w:w="760" w:type="dxa"/>
            <w:shd w:val="clear" w:color="auto" w:fill="auto"/>
            <w:vAlign w:val="center"/>
          </w:tcPr>
          <w:p>
            <w:pPr>
              <w:spacing w:line="300" w:lineRule="exact"/>
              <w:jc w:val="right"/>
              <w:rPr>
                <w:rFonts w:hint="eastAsia" w:ascii="仿宋_GB2312" w:hAnsi="仿宋" w:eastAsia="仿宋_GB2312"/>
                <w:szCs w:val="21"/>
                <w:lang w:val="en-US" w:eastAsia="zh-CN"/>
              </w:rPr>
            </w:pPr>
            <w:r>
              <w:rPr>
                <w:rFonts w:hint="eastAsia" w:ascii="仿宋_GB2312" w:hAnsi="仿宋" w:eastAsia="仿宋_GB2312"/>
                <w:szCs w:val="21"/>
                <w:lang w:val="en-US" w:eastAsia="zh-CN"/>
              </w:rPr>
              <w:t>1</w:t>
            </w:r>
          </w:p>
        </w:tc>
        <w:tc>
          <w:tcPr>
            <w:tcW w:w="848" w:type="dxa"/>
            <w:shd w:val="clear" w:color="auto" w:fill="auto"/>
            <w:vAlign w:val="center"/>
          </w:tcPr>
          <w:p>
            <w:pPr>
              <w:spacing w:line="300" w:lineRule="exact"/>
              <w:jc w:val="right"/>
              <w:rPr>
                <w:rFonts w:hint="default" w:ascii="仿宋_GB2312" w:hAnsi="仿宋" w:eastAsia="仿宋_GB2312"/>
                <w:szCs w:val="21"/>
                <w:lang w:val="en-US" w:eastAsia="zh-CN"/>
              </w:rPr>
            </w:pPr>
            <w:r>
              <w:rPr>
                <w:rFonts w:hint="eastAsia" w:ascii="仿宋_GB2312" w:hAnsi="仿宋" w:eastAsia="仿宋_GB2312"/>
                <w:szCs w:val="21"/>
                <w:lang w:val="en-US" w:eastAsia="zh-CN"/>
              </w:rPr>
              <w:t>1.28</w:t>
            </w:r>
          </w:p>
        </w:tc>
        <w:tc>
          <w:tcPr>
            <w:tcW w:w="961" w:type="dxa"/>
            <w:shd w:val="clear" w:color="auto" w:fill="auto"/>
            <w:vAlign w:val="center"/>
          </w:tcPr>
          <w:p>
            <w:pPr>
              <w:spacing w:line="300" w:lineRule="exact"/>
              <w:jc w:val="right"/>
              <w:rPr>
                <w:rFonts w:hint="default" w:ascii="仿宋_GB2312" w:hAnsi="仿宋" w:eastAsia="仿宋_GB2312"/>
                <w:szCs w:val="21"/>
                <w:lang w:val="en-US" w:eastAsia="zh-CN"/>
              </w:rPr>
            </w:pPr>
            <w:r>
              <w:rPr>
                <w:rFonts w:hint="eastAsia" w:ascii="仿宋_GB2312" w:hAnsi="仿宋" w:eastAsia="仿宋_GB2312"/>
                <w:szCs w:val="21"/>
                <w:lang w:val="en-US" w:eastAsia="zh-CN"/>
              </w:rPr>
              <w:t>1.28</w:t>
            </w:r>
          </w:p>
        </w:tc>
        <w:tc>
          <w:tcPr>
            <w:tcW w:w="961" w:type="dxa"/>
            <w:shd w:val="clear" w:color="auto" w:fill="auto"/>
            <w:vAlign w:val="center"/>
          </w:tcPr>
          <w:p>
            <w:pPr>
              <w:spacing w:line="300" w:lineRule="exact"/>
              <w:jc w:val="right"/>
              <w:rPr>
                <w:rFonts w:hint="default" w:ascii="仿宋_GB2312" w:hAnsi="仿宋" w:eastAsia="仿宋_GB2312"/>
                <w:szCs w:val="21"/>
                <w:lang w:val="en-US" w:eastAsia="zh-CN"/>
              </w:rPr>
            </w:pPr>
            <w:r>
              <w:rPr>
                <w:rFonts w:hint="eastAsia" w:ascii="仿宋_GB2312" w:hAnsi="仿宋" w:eastAsia="仿宋_GB2312"/>
                <w:szCs w:val="21"/>
                <w:lang w:val="en-US" w:eastAsia="zh-CN"/>
              </w:rPr>
              <w:t>1.28</w:t>
            </w:r>
          </w:p>
        </w:tc>
        <w:tc>
          <w:tcPr>
            <w:tcW w:w="961" w:type="dxa"/>
            <w:shd w:val="clear" w:color="auto" w:fill="auto"/>
            <w:vAlign w:val="center"/>
          </w:tcPr>
          <w:p>
            <w:pPr>
              <w:spacing w:line="300" w:lineRule="exact"/>
              <w:jc w:val="right"/>
              <w:rPr>
                <w:rFonts w:hint="default" w:ascii="仿宋_GB2312" w:hAnsi="仿宋" w:eastAsia="仿宋_GB2312"/>
                <w:szCs w:val="21"/>
                <w:lang w:val="en-US" w:eastAsia="zh-CN"/>
              </w:rPr>
            </w:pPr>
            <w:r>
              <w:rPr>
                <w:rFonts w:hint="eastAsia" w:ascii="仿宋_GB2312" w:hAnsi="仿宋" w:eastAsia="仿宋_GB2312"/>
                <w:szCs w:val="21"/>
                <w:lang w:val="en-US" w:eastAsia="zh-CN"/>
              </w:rPr>
              <w:t>1.28</w:t>
            </w:r>
          </w:p>
        </w:tc>
        <w:tc>
          <w:tcPr>
            <w:tcW w:w="961" w:type="dxa"/>
            <w:shd w:val="clear" w:color="auto" w:fill="auto"/>
            <w:vAlign w:val="center"/>
          </w:tcPr>
          <w:p>
            <w:pPr>
              <w:spacing w:line="300" w:lineRule="exact"/>
              <w:jc w:val="right"/>
              <w:rPr>
                <w:rFonts w:ascii="仿宋" w:hAnsi="仿宋" w:eastAsia="仿宋"/>
                <w:sz w:val="30"/>
                <w:szCs w:val="30"/>
              </w:rPr>
            </w:pPr>
          </w:p>
        </w:tc>
        <w:tc>
          <w:tcPr>
            <w:tcW w:w="964" w:type="dxa"/>
            <w:shd w:val="clear" w:color="auto" w:fill="auto"/>
            <w:vAlign w:val="center"/>
          </w:tcPr>
          <w:p>
            <w:pPr>
              <w:spacing w:line="300" w:lineRule="exact"/>
              <w:jc w:val="right"/>
              <w:rPr>
                <w:rFonts w:ascii="仿宋" w:hAnsi="仿宋" w:eastAsia="仿宋"/>
                <w:sz w:val="30"/>
                <w:szCs w:val="30"/>
              </w:rPr>
            </w:pPr>
          </w:p>
        </w:tc>
        <w:tc>
          <w:tcPr>
            <w:tcW w:w="964" w:type="dxa"/>
            <w:shd w:val="clear" w:color="auto" w:fill="auto"/>
            <w:vAlign w:val="center"/>
          </w:tcPr>
          <w:p>
            <w:pPr>
              <w:spacing w:line="300" w:lineRule="exact"/>
              <w:jc w:val="right"/>
              <w:rPr>
                <w:rFonts w:ascii="仿宋" w:hAnsi="仿宋" w:eastAsia="仿宋"/>
                <w:sz w:val="30"/>
                <w:szCs w:val="30"/>
              </w:rPr>
            </w:pPr>
          </w:p>
        </w:tc>
        <w:tc>
          <w:tcPr>
            <w:tcW w:w="92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89" w:hRule="atLeast"/>
          <w:jc w:val="center"/>
        </w:trPr>
        <w:tc>
          <w:tcPr>
            <w:tcW w:w="2448" w:type="dxa"/>
            <w:shd w:val="clear" w:color="auto" w:fill="auto"/>
            <w:vAlign w:val="center"/>
          </w:tcPr>
          <w:p>
            <w:pPr>
              <w:keepNext w:val="0"/>
              <w:keepLines w:val="0"/>
              <w:widowControl/>
              <w:suppressLineNumbers w:val="0"/>
              <w:jc w:val="left"/>
              <w:textAlignment w:val="center"/>
              <w:rPr>
                <w:rFonts w:hint="eastAsia" w:ascii="仿宋_GB2312" w:hAnsi="仿宋" w:eastAsia="仿宋_GB2312"/>
                <w:szCs w:val="21"/>
                <w:lang w:eastAsia="zh-CN"/>
              </w:rPr>
            </w:pPr>
            <w:r>
              <w:rPr>
                <w:rFonts w:hint="eastAsia" w:ascii="宋体" w:hAnsi="宋体" w:eastAsia="宋体" w:cs="宋体"/>
                <w:i w:val="0"/>
                <w:color w:val="000000"/>
                <w:kern w:val="0"/>
                <w:sz w:val="18"/>
                <w:szCs w:val="18"/>
                <w:u w:val="none"/>
                <w:lang w:val="en-US" w:eastAsia="zh-CN" w:bidi="ar"/>
              </w:rPr>
              <w:t>残疾人服务能力提升工程费</w:t>
            </w:r>
          </w:p>
        </w:tc>
        <w:tc>
          <w:tcPr>
            <w:tcW w:w="1099" w:type="dxa"/>
            <w:shd w:val="clear" w:color="auto" w:fill="auto"/>
            <w:vAlign w:val="center"/>
          </w:tcPr>
          <w:p>
            <w:pPr>
              <w:spacing w:line="300" w:lineRule="exact"/>
              <w:jc w:val="right"/>
              <w:rPr>
                <w:rFonts w:hint="default" w:ascii="仿宋_GB2312" w:hAnsi="仿宋" w:eastAsia="仿宋_GB2312"/>
                <w:szCs w:val="21"/>
                <w:lang w:val="en-US" w:eastAsia="zh-CN"/>
              </w:rPr>
            </w:pPr>
            <w:r>
              <w:rPr>
                <w:rFonts w:hint="eastAsia" w:ascii="仿宋_GB2312" w:hAnsi="仿宋" w:eastAsia="仿宋_GB2312"/>
                <w:szCs w:val="21"/>
                <w:lang w:val="en-US" w:eastAsia="zh-CN"/>
              </w:rPr>
              <w:t>2.3</w:t>
            </w:r>
          </w:p>
        </w:tc>
        <w:tc>
          <w:tcPr>
            <w:tcW w:w="974" w:type="dxa"/>
            <w:shd w:val="clear" w:color="auto" w:fill="auto"/>
            <w:vAlign w:val="center"/>
          </w:tcPr>
          <w:p>
            <w:pPr>
              <w:keepNext w:val="0"/>
              <w:keepLines w:val="0"/>
              <w:widowControl/>
              <w:suppressLineNumbers w:val="0"/>
              <w:jc w:val="left"/>
              <w:textAlignment w:val="center"/>
              <w:rPr>
                <w:rFonts w:hint="eastAsia" w:ascii="仿宋_GB2312" w:hAnsi="仿宋" w:eastAsia="仿宋_GB2312"/>
                <w:szCs w:val="21"/>
              </w:rPr>
            </w:pPr>
            <w:r>
              <w:rPr>
                <w:rFonts w:hint="eastAsia" w:ascii="宋体" w:hAnsi="宋体" w:eastAsia="宋体" w:cs="宋体"/>
                <w:i w:val="0"/>
                <w:color w:val="000000"/>
                <w:kern w:val="0"/>
                <w:sz w:val="18"/>
                <w:szCs w:val="18"/>
                <w:u w:val="none"/>
                <w:lang w:val="en-US" w:eastAsia="zh-CN" w:bidi="ar"/>
              </w:rPr>
              <w:t>木制台、桌类</w:t>
            </w:r>
          </w:p>
        </w:tc>
        <w:tc>
          <w:tcPr>
            <w:tcW w:w="986" w:type="dxa"/>
            <w:shd w:val="clear" w:color="auto" w:fill="auto"/>
            <w:vAlign w:val="center"/>
          </w:tcPr>
          <w:p>
            <w:pPr>
              <w:keepNext w:val="0"/>
              <w:keepLines w:val="0"/>
              <w:widowControl/>
              <w:suppressLineNumbers w:val="0"/>
              <w:jc w:val="left"/>
              <w:textAlignment w:val="center"/>
              <w:rPr>
                <w:rFonts w:hint="eastAsia" w:ascii="仿宋_GB2312" w:hAnsi="仿宋" w:eastAsia="仿宋_GB2312"/>
                <w:szCs w:val="21"/>
              </w:rPr>
            </w:pPr>
            <w:r>
              <w:rPr>
                <w:rFonts w:hint="eastAsia" w:ascii="宋体" w:hAnsi="宋体" w:eastAsia="宋体" w:cs="宋体"/>
                <w:i w:val="0"/>
                <w:color w:val="000000"/>
                <w:kern w:val="0"/>
                <w:sz w:val="18"/>
                <w:szCs w:val="18"/>
                <w:u w:val="none"/>
                <w:lang w:val="en-US" w:eastAsia="zh-CN" w:bidi="ar"/>
              </w:rPr>
              <w:t>[A060205]</w:t>
            </w:r>
          </w:p>
        </w:tc>
        <w:tc>
          <w:tcPr>
            <w:tcW w:w="760" w:type="dxa"/>
            <w:shd w:val="clear" w:color="auto" w:fill="auto"/>
            <w:vAlign w:val="center"/>
          </w:tcPr>
          <w:p>
            <w:pPr>
              <w:spacing w:line="300" w:lineRule="exact"/>
              <w:jc w:val="left"/>
              <w:rPr>
                <w:rFonts w:hint="eastAsia" w:ascii="仿宋_GB2312" w:hAnsi="仿宋" w:eastAsia="仿宋_GB2312"/>
                <w:szCs w:val="21"/>
              </w:rPr>
            </w:pPr>
          </w:p>
        </w:tc>
        <w:tc>
          <w:tcPr>
            <w:tcW w:w="760" w:type="dxa"/>
            <w:shd w:val="clear" w:color="auto" w:fill="auto"/>
            <w:vAlign w:val="center"/>
          </w:tcPr>
          <w:p>
            <w:pPr>
              <w:spacing w:line="300" w:lineRule="exact"/>
              <w:jc w:val="right"/>
              <w:rPr>
                <w:rFonts w:hint="default" w:ascii="仿宋_GB2312" w:hAnsi="仿宋" w:eastAsia="仿宋_GB2312"/>
                <w:szCs w:val="21"/>
                <w:lang w:val="en-US" w:eastAsia="zh-CN"/>
              </w:rPr>
            </w:pPr>
            <w:r>
              <w:rPr>
                <w:rFonts w:hint="eastAsia" w:ascii="仿宋_GB2312" w:hAnsi="仿宋" w:eastAsia="仿宋_GB2312"/>
                <w:szCs w:val="21"/>
                <w:lang w:val="en-US" w:eastAsia="zh-CN"/>
              </w:rPr>
              <w:t>1</w:t>
            </w:r>
          </w:p>
        </w:tc>
        <w:tc>
          <w:tcPr>
            <w:tcW w:w="848" w:type="dxa"/>
            <w:shd w:val="clear" w:color="auto" w:fill="auto"/>
            <w:vAlign w:val="center"/>
          </w:tcPr>
          <w:p>
            <w:pPr>
              <w:spacing w:line="300" w:lineRule="exact"/>
              <w:jc w:val="right"/>
              <w:rPr>
                <w:rFonts w:hint="default" w:ascii="仿宋_GB2312" w:hAnsi="仿宋" w:eastAsia="仿宋_GB2312"/>
                <w:szCs w:val="21"/>
                <w:lang w:val="en-US" w:eastAsia="zh-CN"/>
              </w:rPr>
            </w:pPr>
            <w:r>
              <w:rPr>
                <w:rFonts w:hint="eastAsia" w:ascii="仿宋_GB2312" w:hAnsi="仿宋" w:eastAsia="仿宋_GB2312"/>
                <w:szCs w:val="21"/>
                <w:lang w:val="en-US" w:eastAsia="zh-CN"/>
              </w:rPr>
              <w:t>2.3</w:t>
            </w:r>
          </w:p>
        </w:tc>
        <w:tc>
          <w:tcPr>
            <w:tcW w:w="961" w:type="dxa"/>
            <w:shd w:val="clear" w:color="auto" w:fill="auto"/>
            <w:vAlign w:val="center"/>
          </w:tcPr>
          <w:p>
            <w:pPr>
              <w:spacing w:line="300" w:lineRule="exact"/>
              <w:jc w:val="right"/>
              <w:rPr>
                <w:rFonts w:hint="default" w:ascii="仿宋_GB2312" w:hAnsi="仿宋" w:eastAsia="仿宋_GB2312"/>
                <w:szCs w:val="21"/>
                <w:lang w:val="en-US" w:eastAsia="zh-CN"/>
              </w:rPr>
            </w:pPr>
            <w:r>
              <w:rPr>
                <w:rFonts w:hint="eastAsia" w:ascii="仿宋_GB2312" w:hAnsi="仿宋" w:eastAsia="仿宋_GB2312"/>
                <w:szCs w:val="21"/>
                <w:lang w:val="en-US" w:eastAsia="zh-CN"/>
              </w:rPr>
              <w:t>2.3</w:t>
            </w:r>
          </w:p>
        </w:tc>
        <w:tc>
          <w:tcPr>
            <w:tcW w:w="961" w:type="dxa"/>
            <w:shd w:val="clear" w:color="auto" w:fill="auto"/>
            <w:vAlign w:val="center"/>
          </w:tcPr>
          <w:p>
            <w:pPr>
              <w:spacing w:line="300" w:lineRule="exact"/>
              <w:jc w:val="right"/>
              <w:rPr>
                <w:rFonts w:hint="default" w:ascii="仿宋_GB2312" w:hAnsi="仿宋" w:eastAsia="仿宋_GB2312"/>
                <w:szCs w:val="21"/>
                <w:lang w:val="en-US" w:eastAsia="zh-CN"/>
              </w:rPr>
            </w:pPr>
            <w:r>
              <w:rPr>
                <w:rFonts w:hint="eastAsia" w:ascii="仿宋_GB2312" w:hAnsi="仿宋" w:eastAsia="仿宋_GB2312"/>
                <w:szCs w:val="21"/>
                <w:lang w:val="en-US" w:eastAsia="zh-CN"/>
              </w:rPr>
              <w:t>2.3</w:t>
            </w:r>
          </w:p>
        </w:tc>
        <w:tc>
          <w:tcPr>
            <w:tcW w:w="961" w:type="dxa"/>
            <w:shd w:val="clear" w:color="auto" w:fill="auto"/>
            <w:vAlign w:val="center"/>
          </w:tcPr>
          <w:p>
            <w:pPr>
              <w:spacing w:line="300" w:lineRule="exact"/>
              <w:jc w:val="right"/>
              <w:rPr>
                <w:rFonts w:hint="default" w:ascii="仿宋_GB2312" w:hAnsi="仿宋" w:eastAsia="仿宋_GB2312"/>
                <w:szCs w:val="21"/>
                <w:lang w:val="en-US" w:eastAsia="zh-CN"/>
              </w:rPr>
            </w:pPr>
            <w:r>
              <w:rPr>
                <w:rFonts w:hint="eastAsia" w:ascii="仿宋_GB2312" w:hAnsi="仿宋" w:eastAsia="仿宋_GB2312"/>
                <w:szCs w:val="21"/>
                <w:lang w:val="en-US" w:eastAsia="zh-CN"/>
              </w:rPr>
              <w:t>2.3</w:t>
            </w:r>
          </w:p>
        </w:tc>
        <w:tc>
          <w:tcPr>
            <w:tcW w:w="961" w:type="dxa"/>
            <w:shd w:val="clear" w:color="auto" w:fill="auto"/>
            <w:vAlign w:val="center"/>
          </w:tcPr>
          <w:p>
            <w:pPr>
              <w:spacing w:line="300" w:lineRule="exact"/>
              <w:jc w:val="right"/>
              <w:rPr>
                <w:rFonts w:ascii="仿宋" w:hAnsi="仿宋" w:eastAsia="仿宋"/>
                <w:sz w:val="30"/>
                <w:szCs w:val="30"/>
              </w:rPr>
            </w:pPr>
          </w:p>
        </w:tc>
        <w:tc>
          <w:tcPr>
            <w:tcW w:w="964" w:type="dxa"/>
            <w:shd w:val="clear" w:color="auto" w:fill="auto"/>
            <w:vAlign w:val="center"/>
          </w:tcPr>
          <w:p>
            <w:pPr>
              <w:spacing w:line="300" w:lineRule="exact"/>
              <w:jc w:val="right"/>
              <w:rPr>
                <w:rFonts w:ascii="仿宋" w:hAnsi="仿宋" w:eastAsia="仿宋"/>
                <w:sz w:val="30"/>
                <w:szCs w:val="30"/>
              </w:rPr>
            </w:pPr>
          </w:p>
        </w:tc>
        <w:tc>
          <w:tcPr>
            <w:tcW w:w="964" w:type="dxa"/>
            <w:shd w:val="clear" w:color="auto" w:fill="auto"/>
            <w:vAlign w:val="center"/>
          </w:tcPr>
          <w:p>
            <w:pPr>
              <w:spacing w:line="300" w:lineRule="exact"/>
              <w:jc w:val="right"/>
              <w:rPr>
                <w:rFonts w:ascii="仿宋" w:hAnsi="仿宋" w:eastAsia="仿宋"/>
                <w:sz w:val="30"/>
                <w:szCs w:val="30"/>
              </w:rPr>
            </w:pPr>
          </w:p>
        </w:tc>
        <w:tc>
          <w:tcPr>
            <w:tcW w:w="921"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0"/>
        <w:sectPr>
          <w:pgSz w:w="16839" w:h="11907" w:orient="landscape"/>
          <w:pgMar w:top="1361" w:right="1020" w:bottom="1361" w:left="1020" w:header="851" w:footer="992" w:gutter="0"/>
          <w:cols w:space="425" w:num="1"/>
          <w:docGrid w:type="lines" w:linePitch="312" w:charSpace="0"/>
        </w:sectPr>
      </w:pPr>
    </w:p>
    <w:p>
      <w:pPr>
        <w:spacing w:line="300" w:lineRule="exact"/>
        <w:jc w:val="left"/>
        <w:outlineLvl w:val="0"/>
        <w:sectPr>
          <w:pgSz w:w="16839" w:h="11907" w:orient="landscape"/>
          <w:pgMar w:top="1361" w:right="1020" w:bottom="1361" w:left="1020"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隆尧县残联201</w:t>
      </w:r>
      <w:r>
        <w:rPr>
          <w:rFonts w:hint="eastAsia" w:ascii="Times New Roman" w:hAnsi="Times New Roman" w:eastAsia="仿宋" w:cs="Times New Roman"/>
          <w:color w:val="000000"/>
          <w:sz w:val="32"/>
          <w:szCs w:val="32"/>
          <w:lang w:val="en-US" w:eastAsia="zh-CN"/>
        </w:rPr>
        <w:t>8</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69.67</w:t>
      </w:r>
      <w:r>
        <w:rPr>
          <w:rFonts w:ascii="Times New Roman" w:hAnsi="Times New Roman" w:eastAsia="仿宋" w:cs="Times New Roman"/>
          <w:color w:val="000000"/>
          <w:sz w:val="32"/>
          <w:szCs w:val="32"/>
        </w:rPr>
        <w:t>万元（详见下表），本年度单位</w:t>
      </w:r>
      <w:r>
        <w:rPr>
          <w:rFonts w:hint="eastAsia" w:ascii="Times New Roman" w:hAnsi="Times New Roman" w:eastAsia="仿宋" w:cs="Times New Roman"/>
          <w:color w:val="000000"/>
          <w:sz w:val="32"/>
          <w:szCs w:val="32"/>
        </w:rPr>
        <w:t>（处室）</w:t>
      </w:r>
      <w:r>
        <w:rPr>
          <w:rFonts w:hint="eastAsia" w:ascii="Times New Roman" w:hAnsi="Times New Roman" w:eastAsia="仿宋" w:cs="Times New Roman"/>
          <w:color w:val="000000"/>
          <w:sz w:val="32"/>
          <w:szCs w:val="32"/>
          <w:lang w:eastAsia="zh-CN"/>
        </w:rPr>
        <w:t>购置</w:t>
      </w:r>
      <w:r>
        <w:rPr>
          <w:rFonts w:ascii="Times New Roman" w:hAnsi="Times New Roman" w:eastAsia="仿宋" w:cs="Times New Roman"/>
          <w:color w:val="000000"/>
          <w:sz w:val="32"/>
          <w:szCs w:val="32"/>
        </w:rPr>
        <w:t>固定资产</w:t>
      </w:r>
      <w:r>
        <w:rPr>
          <w:rFonts w:hint="eastAsia" w:ascii="Times New Roman" w:hAnsi="Times New Roman" w:eastAsia="仿宋" w:cs="Times New Roman"/>
          <w:color w:val="000000"/>
          <w:sz w:val="32"/>
          <w:szCs w:val="32"/>
          <w:lang w:eastAsia="zh-CN"/>
        </w:rPr>
        <w:t>总额为</w:t>
      </w:r>
      <w:r>
        <w:rPr>
          <w:rFonts w:hint="eastAsia" w:ascii="Times New Roman" w:hAnsi="Times New Roman" w:eastAsia="仿宋" w:cs="Times New Roman"/>
          <w:color w:val="000000"/>
          <w:sz w:val="32"/>
          <w:szCs w:val="32"/>
          <w:lang w:val="en-US" w:eastAsia="zh-CN"/>
        </w:rPr>
        <w:t>1.46万元</w:t>
      </w:r>
      <w:r>
        <w:rPr>
          <w:rFonts w:ascii="Times New Roman" w:hAnsi="Times New Roman" w:eastAsia="仿宋" w:cs="Times New Roman"/>
          <w:color w:val="000000"/>
          <w:sz w:val="32"/>
          <w:szCs w:val="32"/>
        </w:rPr>
        <w:t>，主要</w:t>
      </w:r>
      <w:r>
        <w:rPr>
          <w:rFonts w:hint="eastAsia" w:ascii="Times New Roman" w:hAnsi="Times New Roman" w:eastAsia="仿宋" w:cs="Times New Roman"/>
          <w:color w:val="000000"/>
          <w:sz w:val="32"/>
          <w:szCs w:val="32"/>
        </w:rPr>
        <w:t>是</w:t>
      </w:r>
      <w:r>
        <w:rPr>
          <w:rFonts w:hint="eastAsia" w:ascii="Times New Roman" w:hAnsi="Times New Roman" w:eastAsia="仿宋" w:cs="Times New Roman"/>
          <w:color w:val="000000"/>
          <w:sz w:val="32"/>
          <w:szCs w:val="32"/>
          <w:lang w:eastAsia="zh-CN"/>
        </w:rPr>
        <w:t>计算机、油烟净化器、打印机、办公家具</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9"/>
        <w:tblW w:w="13482" w:type="dxa"/>
        <w:tblInd w:w="93"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隆尧县残联部门固定资产占用情况表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隆尧县残联</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71</w:t>
            </w:r>
            <w:r>
              <w:rPr>
                <w:rFonts w:hint="eastAsia" w:ascii="Times New Roman" w:hAnsi="Times New Roman" w:eastAsia="仿宋" w:cs="Times New Roman"/>
                <w:color w:val="000000"/>
                <w:kern w:val="0"/>
                <w:sz w:val="22"/>
              </w:rPr>
              <w:t>.</w:t>
            </w:r>
            <w:r>
              <w:rPr>
                <w:rFonts w:hint="eastAsia" w:ascii="Times New Roman" w:hAnsi="Times New Roman" w:eastAsia="仿宋" w:cs="Times New Roman"/>
                <w:color w:val="000000"/>
                <w:kern w:val="0"/>
                <w:sz w:val="22"/>
                <w:lang w:val="en-US" w:eastAsia="zh-CN"/>
              </w:rPr>
              <w:t>14</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Times New Roman"/>
                <w:kern w:val="0"/>
                <w:sz w:val="22"/>
              </w:rPr>
              <w:t>96</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25.07</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496</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25.07</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14.99</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专用设备</w:t>
            </w:r>
          </w:p>
        </w:tc>
        <w:tc>
          <w:tcPr>
            <w:tcW w:w="3155" w:type="dxa"/>
            <w:tcBorders>
              <w:top w:val="nil"/>
              <w:left w:val="nil"/>
              <w:bottom w:val="single" w:color="auto" w:sz="4" w:space="0"/>
              <w:right w:val="single" w:color="auto" w:sz="4" w:space="0"/>
            </w:tcBorders>
            <w:vAlign w:val="center"/>
          </w:tcPr>
          <w:p>
            <w:pPr>
              <w:widowControl/>
              <w:ind w:firstLine="1320" w:firstLineChars="600"/>
              <w:rPr>
                <w:rFonts w:ascii="Times New Roman" w:hAnsi="Times New Roman" w:eastAsia="仿宋" w:cs="Times New Roman"/>
                <w:kern w:val="0"/>
                <w:sz w:val="22"/>
              </w:rPr>
            </w:pPr>
            <w:r>
              <w:rPr>
                <w:rFonts w:hint="eastAsia" w:ascii="Times New Roman" w:hAnsi="Times New Roman" w:eastAsia="仿宋" w:cs="Times New Roman"/>
                <w:kern w:val="0"/>
                <w:sz w:val="22"/>
              </w:rPr>
              <w:t>54</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11.73</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rPr>
              <w:t>1</w:t>
            </w:r>
            <w:r>
              <w:rPr>
                <w:rFonts w:hint="eastAsia" w:ascii="Times New Roman" w:hAnsi="Times New Roman" w:eastAsia="仿宋" w:cs="Times New Roman"/>
                <w:kern w:val="0"/>
                <w:sz w:val="22"/>
                <w:lang w:val="en-US" w:eastAsia="zh-CN"/>
              </w:rPr>
              <w:t>9.35</w:t>
            </w:r>
          </w:p>
        </w:tc>
      </w:tr>
    </w:tbl>
    <w:p>
      <w:pPr>
        <w:autoSpaceDE w:val="0"/>
        <w:autoSpaceDN w:val="0"/>
        <w:adjustRightInd w:val="0"/>
        <w:ind w:firstLine="640" w:firstLineChars="200"/>
        <w:jc w:val="left"/>
        <w:rPr>
          <w:rFonts w:hint="eastAsia" w:ascii="黑体" w:hAnsi="黑体" w:eastAsia="黑体" w:cs="Times New Roman"/>
          <w:sz w:val="32"/>
          <w:szCs w:val="32"/>
        </w:rPr>
      </w:pPr>
      <w:r>
        <w:rPr>
          <w:rFonts w:hint="eastAsia" w:ascii="黑体" w:hAnsi="黑体" w:eastAsia="黑体" w:cs="Times New Roman"/>
          <w:sz w:val="32"/>
          <w:szCs w:val="32"/>
        </w:rPr>
        <w:t>八、名词解释</w:t>
      </w:r>
    </w:p>
    <w:p>
      <w:pPr>
        <w:ind w:firstLine="707" w:firstLineChars="220"/>
        <w:rPr>
          <w:rFonts w:ascii="仿宋" w:hAnsi="仿宋" w:eastAsia="仿宋" w:cs="宋体"/>
          <w:color w:val="000000"/>
          <w:sz w:val="32"/>
        </w:rPr>
      </w:pPr>
      <w:r>
        <w:rPr>
          <w:rFonts w:hint="eastAsia" w:ascii="仿宋" w:hAnsi="仿宋" w:eastAsia="仿宋" w:cs="宋体"/>
          <w:b/>
          <w:color w:val="000000"/>
          <w:sz w:val="32"/>
        </w:rPr>
        <w:t>1</w:t>
      </w:r>
      <w:r>
        <w:rPr>
          <w:rFonts w:hint="eastAsia" w:ascii="仿宋" w:hAnsi="仿宋" w:eastAsia="仿宋" w:cs="宋体"/>
          <w:color w:val="000000"/>
          <w:sz w:val="32"/>
        </w:rPr>
        <w:t>、一般公共预算拨款收入：指县级财政当年拨付的资金。</w:t>
      </w:r>
    </w:p>
    <w:p>
      <w:pPr>
        <w:autoSpaceDE w:val="0"/>
        <w:autoSpaceDN w:val="0"/>
        <w:ind w:firstLine="704" w:firstLineChars="220"/>
        <w:rPr>
          <w:rFonts w:ascii="仿宋" w:hAnsi="仿宋" w:eastAsia="仿宋" w:cs="宋体"/>
          <w:color w:val="000000"/>
          <w:sz w:val="32"/>
        </w:rPr>
      </w:pPr>
      <w:r>
        <w:rPr>
          <w:rFonts w:hint="eastAsia" w:ascii="仿宋" w:hAnsi="仿宋" w:eastAsia="仿宋" w:cs="宋体"/>
          <w:color w:val="000000"/>
          <w:sz w:val="32"/>
        </w:rPr>
        <w:t>2、基本支出：指为保障机构正常运转、完成日常工作任务而发生的人员支出和公用支出。</w:t>
      </w:r>
    </w:p>
    <w:p>
      <w:pPr>
        <w:autoSpaceDE w:val="0"/>
        <w:autoSpaceDN w:val="0"/>
        <w:ind w:firstLine="704" w:firstLineChars="220"/>
        <w:rPr>
          <w:rFonts w:ascii="仿宋" w:hAnsi="仿宋" w:eastAsia="仿宋" w:cs="宋体"/>
          <w:color w:val="000000"/>
          <w:sz w:val="32"/>
        </w:rPr>
      </w:pPr>
      <w:r>
        <w:rPr>
          <w:rFonts w:hint="eastAsia" w:ascii="仿宋" w:hAnsi="仿宋" w:eastAsia="仿宋" w:cs="宋体"/>
          <w:color w:val="000000"/>
          <w:sz w:val="32"/>
        </w:rPr>
        <w:t>3、项目支出：指在基本支出之外为完成特定行政任务和事业发展目标所发生的支出。</w:t>
      </w:r>
    </w:p>
    <w:p>
      <w:pPr>
        <w:autoSpaceDE w:val="0"/>
        <w:autoSpaceDN w:val="0"/>
        <w:ind w:firstLine="704" w:firstLineChars="220"/>
        <w:rPr>
          <w:rFonts w:ascii="仿宋" w:hAnsi="仿宋" w:eastAsia="仿宋" w:cs="宋体"/>
          <w:color w:val="000000"/>
          <w:sz w:val="32"/>
        </w:rPr>
      </w:pPr>
      <w:r>
        <w:rPr>
          <w:rFonts w:hint="eastAsia" w:ascii="仿宋" w:hAnsi="仿宋" w:eastAsia="仿宋" w:cs="宋体"/>
          <w:color w:val="000000"/>
          <w:sz w:val="32"/>
        </w:rPr>
        <w:t>4、</w:t>
      </w:r>
      <w:r>
        <w:rPr>
          <w:rFonts w:hint="eastAsia" w:ascii="仿宋" w:hAnsi="仿宋" w:eastAsia="仿宋" w:cs="宋体"/>
          <w:b/>
          <w:color w:val="000000"/>
          <w:sz w:val="32"/>
        </w:rPr>
        <w:t>“</w:t>
      </w:r>
      <w:r>
        <w:rPr>
          <w:rFonts w:hint="eastAsia" w:ascii="仿宋" w:hAnsi="仿宋" w:eastAsia="仿宋" w:cs="宋体"/>
          <w:color w:val="000000"/>
          <w:sz w:val="32"/>
        </w:rPr>
        <w:t>三公</w:t>
      </w:r>
      <w:r>
        <w:rPr>
          <w:rFonts w:hint="eastAsia" w:ascii="仿宋" w:hAnsi="仿宋" w:eastAsia="仿宋" w:cs="宋体"/>
          <w:b/>
          <w:color w:val="000000"/>
          <w:sz w:val="32"/>
        </w:rPr>
        <w:t>”</w:t>
      </w:r>
      <w:r>
        <w:rPr>
          <w:rFonts w:hint="eastAsia" w:ascii="仿宋" w:hAnsi="仿宋" w:eastAsia="仿宋" w:cs="宋体"/>
          <w:color w:val="000000"/>
          <w:sz w:val="32"/>
        </w:rPr>
        <w:t>经费：纳入县级财政预算管理的“三公”经费，是指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支出。</w:t>
      </w:r>
    </w:p>
    <w:p>
      <w:pPr>
        <w:ind w:firstLine="704" w:firstLineChars="220"/>
        <w:rPr>
          <w:rFonts w:ascii="仿宋" w:hAnsi="仿宋" w:eastAsia="仿宋" w:cs="宋体"/>
          <w:kern w:val="0"/>
          <w:sz w:val="32"/>
          <w:szCs w:val="32"/>
        </w:rPr>
      </w:pPr>
      <w:r>
        <w:rPr>
          <w:rFonts w:hint="eastAsia" w:ascii="仿宋" w:hAnsi="仿宋" w:eastAsia="仿宋" w:cs="宋体"/>
          <w:color w:val="000000"/>
          <w:sz w:val="32"/>
        </w:rPr>
        <w:t>5、机关运行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SimSun-ExtB"/>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Arial Unicode MS"/>
    <w:panose1 w:val="00000000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宋体-方正超大字符集">
    <w:altName w:val="Arial Unicode MS"/>
    <w:panose1 w:val="00000000000000000000"/>
    <w:charset w:val="86"/>
    <w:family w:val="script"/>
    <w:pitch w:val="default"/>
    <w:sig w:usb0="00000000" w:usb1="00000000" w:usb2="00000010" w:usb3="00000000" w:csb0="00040000" w:csb1="00000000"/>
  </w:font>
  <w:font w:name="SimSun-ExtB">
    <w:panose1 w:val="02010609060101010101"/>
    <w:charset w:val="86"/>
    <w:family w:val="auto"/>
    <w:pitch w:val="default"/>
    <w:sig w:usb0="00000001" w:usb1="02000000" w:usb2="00000000"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9"/>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C67CC4"/>
    <w:rsid w:val="0000235E"/>
    <w:rsid w:val="001255EE"/>
    <w:rsid w:val="00156189"/>
    <w:rsid w:val="001944C3"/>
    <w:rsid w:val="001C5E0C"/>
    <w:rsid w:val="001D3466"/>
    <w:rsid w:val="002A3899"/>
    <w:rsid w:val="003345B8"/>
    <w:rsid w:val="00390A49"/>
    <w:rsid w:val="003F4292"/>
    <w:rsid w:val="0045590D"/>
    <w:rsid w:val="0046545D"/>
    <w:rsid w:val="004B434B"/>
    <w:rsid w:val="004D4ED0"/>
    <w:rsid w:val="00512C4A"/>
    <w:rsid w:val="00580841"/>
    <w:rsid w:val="005A206C"/>
    <w:rsid w:val="00601F99"/>
    <w:rsid w:val="006272FB"/>
    <w:rsid w:val="006511A8"/>
    <w:rsid w:val="006B73A6"/>
    <w:rsid w:val="006E496C"/>
    <w:rsid w:val="007941F0"/>
    <w:rsid w:val="008346C8"/>
    <w:rsid w:val="0087107A"/>
    <w:rsid w:val="00925AB0"/>
    <w:rsid w:val="00981010"/>
    <w:rsid w:val="009B76EA"/>
    <w:rsid w:val="00A5050A"/>
    <w:rsid w:val="00A77277"/>
    <w:rsid w:val="00B22C6E"/>
    <w:rsid w:val="00B304E3"/>
    <w:rsid w:val="00B427E0"/>
    <w:rsid w:val="00B54C7F"/>
    <w:rsid w:val="00BE38D2"/>
    <w:rsid w:val="00BF3B5E"/>
    <w:rsid w:val="00C40AA4"/>
    <w:rsid w:val="00C67CC4"/>
    <w:rsid w:val="00CD4399"/>
    <w:rsid w:val="00E743A7"/>
    <w:rsid w:val="00EA75FA"/>
    <w:rsid w:val="00EC3709"/>
    <w:rsid w:val="00EC3C62"/>
    <w:rsid w:val="00EC601F"/>
    <w:rsid w:val="00EF6A17"/>
    <w:rsid w:val="00F73D27"/>
    <w:rsid w:val="00FB7451"/>
    <w:rsid w:val="00FE5868"/>
    <w:rsid w:val="011E7105"/>
    <w:rsid w:val="02D17B65"/>
    <w:rsid w:val="055F0426"/>
    <w:rsid w:val="1DFD1246"/>
    <w:rsid w:val="31A351F1"/>
    <w:rsid w:val="462A3CB0"/>
    <w:rsid w:val="54BA7E92"/>
    <w:rsid w:val="55DB735E"/>
    <w:rsid w:val="5A412D70"/>
    <w:rsid w:val="5AF61D44"/>
    <w:rsid w:val="5F7C74C4"/>
    <w:rsid w:val="619D3D87"/>
    <w:rsid w:val="7E88178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99"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11"/>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2"/>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link w:val="13"/>
    <w:qFormat/>
    <w:uiPriority w:val="99"/>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8">
    <w:name w:val="footnote reference"/>
    <w:qFormat/>
    <w:uiPriority w:val="99"/>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脚 Char"/>
    <w:link w:val="2"/>
    <w:semiHidden/>
    <w:qFormat/>
    <w:uiPriority w:val="0"/>
    <w:rPr>
      <w:rFonts w:ascii="Times New Roman" w:hAnsi="Times New Roman" w:eastAsia="宋体" w:cs="Times New Roman"/>
      <w:sz w:val="18"/>
      <w:szCs w:val="18"/>
    </w:rPr>
  </w:style>
  <w:style w:type="character" w:customStyle="1" w:styleId="12">
    <w:name w:val="页眉 Char"/>
    <w:link w:val="3"/>
    <w:semiHidden/>
    <w:qFormat/>
    <w:uiPriority w:val="0"/>
    <w:rPr>
      <w:rFonts w:ascii="Times New Roman" w:hAnsi="Times New Roman" w:eastAsia="宋体" w:cs="Times New Roman"/>
      <w:sz w:val="18"/>
      <w:szCs w:val="18"/>
    </w:rPr>
  </w:style>
  <w:style w:type="character" w:customStyle="1" w:styleId="13">
    <w:name w:val="脚注文本 Char"/>
    <w:link w:val="5"/>
    <w:qFormat/>
    <w:uiPriority w:val="99"/>
    <w:rPr>
      <w:rFonts w:ascii="Calibri" w:hAnsi="Calibri" w:cs="黑体"/>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14</Pages>
  <Words>779</Words>
  <Characters>4441</Characters>
  <Lines>37</Lines>
  <Paragraphs>10</Paragraphs>
  <TotalTime>22</TotalTime>
  <ScaleCrop>false</ScaleCrop>
  <LinksUpToDate>false</LinksUpToDate>
  <CharactersWithSpaces>5210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2017-01-23T09:29:00Z</dcterms:created>
  <dc:creator>guest</dc:creator>
  <cp:lastModifiedBy>Administrator</cp:lastModifiedBy>
  <cp:lastPrinted>2017-02-10T09:57:00Z</cp:lastPrinted>
  <dcterms:modified xsi:type="dcterms:W3CDTF">2021-05-21T01:11:44Z</dcterms:modified>
  <cp:revision>32</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