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隆尧县人民政府办公室</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20</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按照《预算法》、《地方预决算公开操作规程》和《河北省省级预算公开办法》规定，现将隆尧县人民政府办公室</w:t>
      </w:r>
      <w:r>
        <w:rPr>
          <w:rFonts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600" w:lineRule="exact"/>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一）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（二）负责县政府领导活动的组织和协调工作；负责县政府</w:t>
      </w:r>
      <w:r>
        <w:rPr>
          <w:rFonts w:hint="eastAsia" w:ascii="仿宋_GB2312" w:hAnsi="黑体" w:eastAsia="仿宋_GB2312"/>
          <w:spacing w:val="-6"/>
          <w:sz w:val="32"/>
          <w:szCs w:val="32"/>
        </w:rPr>
        <w:t>会议的筹备和服务工作，协助县政府领导组织落实会议决定事项。</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（三）研究县政府各部门、各乡镇政府、开发区、食品城请示县政府的事项，提出审核意见，报县政府领导审批。</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（四）根据县政府领导的指示，对县政府部门间出现的争议问题提出处理意见，报县政府领导决定。</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（五）组织起草县政府领导重要讲话及其他重要文稿。</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（六）督促检查县政府各部门、各乡镇政府、开发区、食品城对市政府和县政府决定事项及市政府、县政府领导重要批示的执行落实情况并跟踪调研，及时向县政府领导报告。</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（七）负责县政府值班工作，及时报告重要情况，传达和督促落实县政府领导工作要求，协助处理各部门、各乡镇向县政府反映的重要问题。</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（八）根据县政府工作部署和县政府领导的指示，组织专题调研，及时反映情况，提出建议。</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（九）组织承办人大代表建议和政协提案工作。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（十）负责推进、指导、协调、监督全县政府信息公开工作。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（十一）负责政务信息（包括舆情信息）服务工作和全县政府系统机关电子政务工作，协同有关部门统筹协调县政府新闻宣传、舆情回应等工作。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二）负责对人民群众通过电话反映的政府及政府各部门存在的问题、直接影响群众生活的应由县政府及有关职能部门协调解决的问题和其他带有普遍性、倾向性、苗头性的重要问题进行受理、登记、呈交、督促、反馈。</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（十三）负责县政府公务接待工作；做好县政府办公室有关行政事务工作。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（十四）负责综合性政策研究并向县政府提供决策咨询。</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（十五）负责关于党中央重要文件涉及县政府系统需落实事项、县委主要领导批示件和县委常委会会议决定、县委专题会议议定的涉及县政府系统落实事项的督办、汇总、反馈工作。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（十六）负责承办县政府提请县人大常委会任免议案和县政府任免人员的行政任免手续等有关事宜，承办县政府任命工作人员宪法宣誓工作。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（十八）贯彻执行国家、省、市有关人民防空的法律、法规和规章，结合我县实际，拟订人民防空工作管理办法、人民防空</w:t>
      </w:r>
      <w:r>
        <w:rPr>
          <w:rFonts w:hint="eastAsia" w:ascii="仿宋_GB2312" w:hAnsi="黑体" w:eastAsia="仿宋_GB2312"/>
          <w:spacing w:val="-4"/>
          <w:sz w:val="32"/>
          <w:szCs w:val="32"/>
        </w:rPr>
        <w:t>事业发展规划和年度计划，经县政府批准后组织实施和监督检查。</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（十九）管理人民防空工程建设；负责人民防空组织指挥工作；负责人民防空信息化建设；组织开展防空防灾宣传教育；战时组织指挥城乡群众开展防空袭斗争；承担县政府赋予的防灾救灾等应急保障任务。</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（二十）负责指导地方志编研工作。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（二十一）完成县委、县政府交办的其他任务。</w:t>
      </w:r>
    </w:p>
    <w:p>
      <w:pPr>
        <w:adjustRightInd w:val="0"/>
        <w:spacing w:line="600" w:lineRule="exact"/>
        <w:ind w:firstLine="640"/>
        <w:rPr>
          <w:rFonts w:hint="eastAsia" w:ascii="仿宋_GB2312" w:hAnsi="黑体" w:eastAsia="仿宋_GB2312"/>
          <w:sz w:val="32"/>
          <w:szCs w:val="32"/>
        </w:rPr>
      </w:pPr>
    </w:p>
    <w:p>
      <w:pPr>
        <w:adjustRightInd w:val="0"/>
        <w:spacing w:line="600" w:lineRule="exact"/>
        <w:ind w:firstLine="640"/>
        <w:rPr>
          <w:rFonts w:hint="eastAsia" w:ascii="仿宋_GB2312" w:hAnsi="黑体" w:eastAsia="仿宋_GB2312"/>
          <w:sz w:val="32"/>
          <w:szCs w:val="32"/>
        </w:rPr>
      </w:pPr>
    </w:p>
    <w:p>
      <w:pPr>
        <w:spacing w:line="596" w:lineRule="exact"/>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tbl>
      <w:tblPr>
        <w:tblStyle w:val="9"/>
        <w:tblW w:w="13020"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单位名称</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单位性质</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单位规格</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隆尧县人民政府办公室（机关）</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行政</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正科级</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财政拨款</w:t>
            </w:r>
          </w:p>
        </w:tc>
      </w:tr>
    </w:tbl>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按照预算管理有关规定，目前我省部门预算的编制实行综合预算管理，即全部收入和支出都反映的预算中。隆尧县人民政府办公室的收支包含在部门预算中。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1855</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17</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1855</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17</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收支预算总表支出栏、基本支出表、项目支出表按经济分类和支出功能分类科目编制，反映隆尧县人民政府办公室年度部门预算中支出预算的总体情况。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1855.17</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val="en-US" w:eastAsia="zh-CN"/>
        </w:rPr>
        <w:t>470.89</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436.55</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34.34</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1384.28</w:t>
      </w:r>
      <w:r>
        <w:rPr>
          <w:rFonts w:hint="eastAsia" w:ascii="Times New Roman" w:hAnsi="Times New Roman" w:eastAsia="仿宋" w:cs="仿宋"/>
          <w:sz w:val="32"/>
          <w:szCs w:val="32"/>
        </w:rPr>
        <w:t>万元，主要为地方志经费</w:t>
      </w:r>
      <w:r>
        <w:rPr>
          <w:rFonts w:hint="eastAsia" w:ascii="Times New Roman" w:hAnsi="Times New Roman" w:eastAsia="仿宋" w:cs="Times New Roman"/>
          <w:sz w:val="32"/>
          <w:szCs w:val="32"/>
          <w:lang w:val="en-US" w:eastAsia="zh-CN"/>
        </w:rPr>
        <w:t>9.3</w:t>
      </w:r>
      <w:r>
        <w:rPr>
          <w:rFonts w:hint="eastAsia" w:ascii="Times New Roman" w:hAnsi="Times New Roman" w:eastAsia="仿宋" w:cs="仿宋"/>
          <w:sz w:val="32"/>
          <w:szCs w:val="32"/>
        </w:rPr>
        <w:t>万元，房屋维修</w:t>
      </w:r>
      <w:r>
        <w:rPr>
          <w:rFonts w:hint="eastAsia" w:ascii="Times New Roman" w:hAnsi="Times New Roman" w:eastAsia="仿宋" w:cs="Times New Roman"/>
          <w:sz w:val="32"/>
          <w:szCs w:val="32"/>
          <w:lang w:val="en-US" w:eastAsia="zh-CN"/>
        </w:rPr>
        <w:t>89</w:t>
      </w:r>
      <w:r>
        <w:rPr>
          <w:rFonts w:hint="eastAsia" w:ascii="Times New Roman" w:hAnsi="Times New Roman" w:eastAsia="仿宋" w:cs="仿宋"/>
          <w:sz w:val="32"/>
          <w:szCs w:val="32"/>
        </w:rPr>
        <w:t>万元，政务公开办经费</w:t>
      </w:r>
      <w:r>
        <w:rPr>
          <w:rFonts w:hint="eastAsia" w:ascii="Times New Roman" w:hAnsi="Times New Roman" w:eastAsia="仿宋" w:cs="Times New Roman"/>
          <w:sz w:val="32"/>
          <w:szCs w:val="32"/>
          <w:lang w:val="en-US" w:eastAsia="zh-CN"/>
        </w:rPr>
        <w:t>23.18</w:t>
      </w:r>
      <w:r>
        <w:rPr>
          <w:rFonts w:hint="eastAsia" w:ascii="Times New Roman" w:hAnsi="Times New Roman" w:eastAsia="仿宋" w:cs="仿宋"/>
          <w:sz w:val="32"/>
          <w:szCs w:val="32"/>
        </w:rPr>
        <w:t>万元，政府办专项公用经费</w:t>
      </w:r>
      <w:r>
        <w:rPr>
          <w:rFonts w:hint="eastAsia" w:ascii="Times New Roman" w:hAnsi="Times New Roman" w:eastAsia="仿宋" w:cs="Times New Roman"/>
          <w:sz w:val="32"/>
          <w:szCs w:val="32"/>
          <w:lang w:val="en-US" w:eastAsia="zh-CN"/>
        </w:rPr>
        <w:t>214</w:t>
      </w:r>
      <w:r>
        <w:rPr>
          <w:rFonts w:hint="eastAsia" w:ascii="Times New Roman" w:hAnsi="Times New Roman" w:eastAsia="仿宋" w:cs="仿宋"/>
          <w:sz w:val="32"/>
          <w:szCs w:val="32"/>
        </w:rPr>
        <w:t>万元，金融办经费</w:t>
      </w:r>
      <w:r>
        <w:rPr>
          <w:rFonts w:hint="eastAsia" w:ascii="Times New Roman" w:hAnsi="Times New Roman" w:eastAsia="仿宋" w:cs="Times New Roman"/>
          <w:sz w:val="32"/>
          <w:szCs w:val="32"/>
          <w:lang w:val="en-US" w:eastAsia="zh-CN"/>
        </w:rPr>
        <w:t>9</w:t>
      </w:r>
      <w:r>
        <w:rPr>
          <w:rFonts w:hint="eastAsia" w:ascii="Times New Roman" w:hAnsi="Times New Roman" w:eastAsia="仿宋" w:cs="仿宋"/>
          <w:sz w:val="32"/>
          <w:szCs w:val="32"/>
        </w:rPr>
        <w:t>万元，督查调研</w:t>
      </w:r>
      <w:r>
        <w:rPr>
          <w:rFonts w:hint="eastAsia" w:ascii="Times New Roman" w:hAnsi="Times New Roman" w:eastAsia="仿宋" w:cs="Times New Roman"/>
          <w:sz w:val="32"/>
          <w:szCs w:val="32"/>
          <w:lang w:val="en-US" w:eastAsia="zh-CN"/>
        </w:rPr>
        <w:t>4.2</w:t>
      </w:r>
      <w:r>
        <w:rPr>
          <w:rFonts w:hint="eastAsia" w:ascii="Times New Roman" w:hAnsi="Times New Roman" w:eastAsia="仿宋" w:cs="仿宋"/>
          <w:sz w:val="32"/>
          <w:szCs w:val="32"/>
        </w:rPr>
        <w:t>万元，综合治税经费</w:t>
      </w:r>
      <w:r>
        <w:rPr>
          <w:rFonts w:hint="eastAsia" w:ascii="Times New Roman" w:hAnsi="Times New Roman" w:eastAsia="仿宋" w:cs="Times New Roman"/>
          <w:sz w:val="32"/>
          <w:szCs w:val="32"/>
          <w:lang w:val="en-US" w:eastAsia="zh-CN"/>
        </w:rPr>
        <w:t>4.2</w:t>
      </w:r>
      <w:r>
        <w:rPr>
          <w:rFonts w:hint="eastAsia" w:ascii="Times New Roman" w:hAnsi="Times New Roman" w:eastAsia="仿宋" w:cs="仿宋"/>
          <w:sz w:val="32"/>
          <w:szCs w:val="32"/>
        </w:rPr>
        <w:t>万元，政府网站运行经费</w:t>
      </w:r>
      <w:r>
        <w:rPr>
          <w:rFonts w:hint="eastAsia" w:ascii="Times New Roman" w:hAnsi="Times New Roman" w:eastAsia="仿宋" w:cs="Times New Roman"/>
          <w:sz w:val="32"/>
          <w:szCs w:val="32"/>
          <w:lang w:val="en-US" w:eastAsia="zh-CN"/>
        </w:rPr>
        <w:t>4.2</w:t>
      </w:r>
      <w:r>
        <w:rPr>
          <w:rFonts w:hint="eastAsia" w:ascii="Times New Roman" w:hAnsi="Times New Roman" w:eastAsia="仿宋" w:cs="仿宋"/>
          <w:sz w:val="32"/>
          <w:szCs w:val="32"/>
        </w:rPr>
        <w:t>万元，人防办经费</w:t>
      </w:r>
      <w:r>
        <w:rPr>
          <w:rFonts w:hint="eastAsia" w:ascii="Times New Roman" w:hAnsi="Times New Roman" w:eastAsia="仿宋" w:cs="Times New Roman"/>
          <w:sz w:val="32"/>
          <w:szCs w:val="32"/>
          <w:lang w:val="en-US" w:eastAsia="zh-CN"/>
        </w:rPr>
        <w:t>4.2</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劳务服务</w:t>
      </w:r>
      <w:r>
        <w:rPr>
          <w:rFonts w:hint="eastAsia" w:ascii="Times New Roman" w:hAnsi="Times New Roman" w:eastAsia="仿宋" w:cs="仿宋"/>
          <w:sz w:val="32"/>
          <w:szCs w:val="32"/>
          <w:lang w:val="en-US" w:eastAsia="zh-CN"/>
        </w:rPr>
        <w:t>23</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，提前下达</w:t>
      </w:r>
      <w:r>
        <w:rPr>
          <w:rFonts w:hint="eastAsia" w:ascii="Times New Roman" w:hAnsi="Times New Roman" w:eastAsia="仿宋" w:cs="仿宋"/>
          <w:sz w:val="32"/>
          <w:szCs w:val="32"/>
          <w:lang w:val="en-US" w:eastAsia="zh-CN"/>
        </w:rPr>
        <w:t>2020年省级补助县</w:t>
      </w:r>
      <w:r>
        <w:rPr>
          <w:rFonts w:hint="eastAsia" w:ascii="Times New Roman" w:hAnsi="Times New Roman" w:eastAsia="仿宋" w:cs="仿宋"/>
          <w:sz w:val="32"/>
          <w:szCs w:val="32"/>
          <w:lang w:eastAsia="zh-CN"/>
        </w:rPr>
        <w:t>人防工程（人民防空补助资金）</w:t>
      </w:r>
      <w:r>
        <w:rPr>
          <w:rFonts w:hint="eastAsia" w:ascii="Times New Roman" w:hAnsi="Times New Roman" w:eastAsia="仿宋" w:cs="仿宋"/>
          <w:sz w:val="32"/>
          <w:szCs w:val="32"/>
          <w:lang w:val="en-US" w:eastAsia="zh-CN"/>
        </w:rPr>
        <w:t>/县医院1000万元</w:t>
      </w:r>
      <w:r>
        <w:rPr>
          <w:rFonts w:hint="eastAsia" w:ascii="Times New Roman" w:hAnsi="Times New Roman" w:eastAsia="仿宋" w:cs="仿宋"/>
          <w:sz w:val="32"/>
          <w:szCs w:val="32"/>
        </w:rPr>
        <w:t>。</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1855.17</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w:t>
      </w:r>
      <w:r>
        <w:rPr>
          <w:rFonts w:hint="eastAsia" w:ascii="Times New Roman" w:hAnsi="Times New Roman" w:eastAsia="仿宋" w:cs="Times New Roman"/>
          <w:sz w:val="32"/>
          <w:szCs w:val="32"/>
          <w:lang w:val="en-US" w:eastAsia="zh-CN"/>
        </w:rPr>
        <w:t>9</w:t>
      </w:r>
      <w:r>
        <w:rPr>
          <w:rFonts w:hint="eastAsia" w:ascii="Times New Roman" w:hAnsi="Times New Roman" w:eastAsia="仿宋" w:cs="仿宋"/>
          <w:sz w:val="32"/>
          <w:szCs w:val="32"/>
        </w:rPr>
        <w:t>年增长</w:t>
      </w:r>
      <w:r>
        <w:rPr>
          <w:rFonts w:hint="eastAsia" w:ascii="Times New Roman" w:hAnsi="Times New Roman" w:eastAsia="仿宋" w:cs="Times New Roman"/>
          <w:sz w:val="32"/>
          <w:szCs w:val="32"/>
          <w:lang w:val="en-US" w:eastAsia="zh-CN"/>
        </w:rPr>
        <w:t>944.21</w:t>
      </w:r>
      <w:r>
        <w:rPr>
          <w:rFonts w:hint="eastAsia" w:ascii="Times New Roman" w:hAnsi="Times New Roman" w:eastAsia="仿宋" w:cs="仿宋"/>
          <w:sz w:val="32"/>
          <w:szCs w:val="32"/>
        </w:rPr>
        <w:t>万元，其中：基本支出增长</w:t>
      </w:r>
      <w:r>
        <w:rPr>
          <w:rFonts w:hint="eastAsia" w:ascii="Times New Roman" w:hAnsi="Times New Roman" w:eastAsia="仿宋" w:cs="Times New Roman"/>
          <w:sz w:val="32"/>
          <w:szCs w:val="32"/>
          <w:lang w:val="en-US" w:eastAsia="zh-CN"/>
        </w:rPr>
        <w:t>31.87</w:t>
      </w:r>
      <w:r>
        <w:rPr>
          <w:rFonts w:hint="eastAsia" w:ascii="Times New Roman" w:hAnsi="Times New Roman" w:eastAsia="仿宋" w:cs="仿宋"/>
          <w:sz w:val="32"/>
          <w:szCs w:val="32"/>
        </w:rPr>
        <w:t>万元，主要是增加</w:t>
      </w:r>
      <w:r>
        <w:rPr>
          <w:rFonts w:hint="eastAsia" w:ascii="Times New Roman" w:hAnsi="Times New Roman" w:eastAsia="仿宋" w:cs="仿宋"/>
          <w:sz w:val="32"/>
          <w:szCs w:val="32"/>
          <w:lang w:eastAsia="zh-CN"/>
        </w:rPr>
        <w:t>人员工资及社保</w:t>
      </w:r>
      <w:r>
        <w:rPr>
          <w:rFonts w:hint="eastAsia" w:ascii="Times New Roman" w:hAnsi="Times New Roman" w:eastAsia="仿宋" w:cs="仿宋"/>
          <w:sz w:val="32"/>
          <w:szCs w:val="32"/>
        </w:rPr>
        <w:t>经费；项目支出增长</w:t>
      </w:r>
      <w:r>
        <w:rPr>
          <w:rFonts w:hint="eastAsia" w:ascii="Times New Roman" w:hAnsi="Times New Roman" w:eastAsia="仿宋" w:cs="Times New Roman"/>
          <w:sz w:val="32"/>
          <w:szCs w:val="32"/>
          <w:lang w:val="en-US" w:eastAsia="zh-CN"/>
        </w:rPr>
        <w:t>912.33</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提前下达人防工程</w:t>
      </w:r>
      <w:r>
        <w:rPr>
          <w:rFonts w:hint="eastAsia" w:ascii="Times New Roman" w:hAnsi="Times New Roman" w:eastAsia="仿宋" w:cs="仿宋"/>
          <w:sz w:val="32"/>
          <w:szCs w:val="32"/>
        </w:rPr>
        <w:t>等。</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34.34</w:t>
      </w:r>
      <w:r>
        <w:rPr>
          <w:rFonts w:hint="eastAsia" w:ascii="Times New Roman" w:hAnsi="Times New Roman" w:eastAsia="仿宋" w:cs="仿宋"/>
          <w:sz w:val="32"/>
          <w:szCs w:val="32"/>
        </w:rPr>
        <w:t>万元，主要用于保证机关正常运转的</w:t>
      </w:r>
      <w:r>
        <w:rPr>
          <w:rFonts w:hint="eastAsia" w:ascii="Times New Roman" w:hAnsi="Times New Roman" w:eastAsia="仿宋" w:cs="Times New Roman"/>
          <w:sz w:val="32"/>
          <w:szCs w:val="32"/>
        </w:rPr>
        <w:t>办公</w:t>
      </w:r>
      <w:r>
        <w:rPr>
          <w:rFonts w:hint="eastAsia" w:ascii="Times New Roman" w:hAnsi="Times New Roman" w:eastAsia="仿宋" w:cs="Times New Roman"/>
          <w:sz w:val="32"/>
          <w:szCs w:val="32"/>
          <w:lang w:eastAsia="zh-CN"/>
        </w:rPr>
        <w:t>费、工会经费</w:t>
      </w:r>
      <w:r>
        <w:rPr>
          <w:rFonts w:hint="eastAsia" w:ascii="Times New Roman" w:hAnsi="Times New Roman" w:eastAsia="仿宋" w:cs="Times New Roman"/>
          <w:sz w:val="32"/>
          <w:szCs w:val="32"/>
        </w:rPr>
        <w:t>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lang w:val="en-US" w:eastAsia="zh-CN"/>
        </w:rPr>
        <w:t>20.2</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，与上年持平，主要原因为本年度未发生出国费用。</w:t>
      </w:r>
      <w:r>
        <w:rPr>
          <w:rFonts w:hint="eastAsia" w:ascii="Times New Roman" w:hAnsi="Times New Roman" w:eastAsia="仿宋" w:cs="仿宋"/>
          <w:sz w:val="32"/>
          <w:szCs w:val="32"/>
        </w:rPr>
        <w:t>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w:t>
      </w:r>
      <w:r>
        <w:rPr>
          <w:rFonts w:hint="eastAsia" w:ascii="Times New Roman" w:hAnsi="Times New Roman" w:eastAsia="仿宋" w:cs="仿宋"/>
          <w:sz w:val="32"/>
          <w:szCs w:val="32"/>
          <w:lang w:eastAsia="zh-CN"/>
        </w:rPr>
        <w:t>较上年减少</w:t>
      </w:r>
      <w:r>
        <w:rPr>
          <w:rFonts w:hint="eastAsia" w:ascii="Times New Roman" w:hAnsi="Times New Roman" w:eastAsia="仿宋" w:cs="仿宋"/>
          <w:sz w:val="32"/>
          <w:szCs w:val="32"/>
          <w:lang w:val="en-US" w:eastAsia="zh-CN"/>
        </w:rPr>
        <w:t>3万元，主要原因为本年度未安排</w:t>
      </w:r>
      <w:r>
        <w:rPr>
          <w:rFonts w:hint="eastAsia" w:ascii="Times New Roman" w:hAnsi="Times New Roman" w:eastAsia="仿宋" w:cs="仿宋"/>
          <w:sz w:val="32"/>
          <w:szCs w:val="32"/>
        </w:rPr>
        <w:t>公务用车购置及运维费</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lang w:val="en-US" w:eastAsia="zh-CN"/>
        </w:rPr>
        <w:t>20.2</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bookmarkStart w:id="4" w:name="_GoBack"/>
      <w:bookmarkEnd w:id="4"/>
      <w:r>
        <w:rPr>
          <w:rFonts w:hint="eastAsia" w:ascii="Times New Roman" w:hAnsi="Times New Roman" w:eastAsia="仿宋" w:cs="仿宋"/>
          <w:sz w:val="32"/>
          <w:szCs w:val="32"/>
        </w:rPr>
        <w:t>公务接待费较上年减少</w:t>
      </w:r>
      <w:r>
        <w:rPr>
          <w:rFonts w:hint="eastAsia" w:ascii="Times New Roman" w:hAnsi="Times New Roman" w:eastAsia="仿宋" w:cs="Times New Roman"/>
          <w:sz w:val="32"/>
          <w:szCs w:val="32"/>
          <w:lang w:val="en-US" w:eastAsia="zh-CN"/>
        </w:rPr>
        <w:t>4.2</w:t>
      </w:r>
      <w:r>
        <w:rPr>
          <w:rFonts w:hint="eastAsia" w:ascii="Times New Roman" w:hAnsi="Times New Roman" w:eastAsia="仿宋" w:cs="仿宋"/>
          <w:sz w:val="32"/>
          <w:szCs w:val="32"/>
        </w:rPr>
        <w:t>万元，主要原因为遵循减少浪费、厉行节约原则。</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spacing w:line="500" w:lineRule="exact"/>
        <w:ind w:firstLine="883" w:firstLineChars="275"/>
        <w:rPr>
          <w:rFonts w:ascii="Times New Roman" w:hAnsi="Times New Roman" w:eastAsia="仿宋" w:cs="Times New Roman"/>
          <w:b/>
          <w:bCs/>
          <w:sz w:val="32"/>
          <w:szCs w:val="32"/>
        </w:rPr>
      </w:pPr>
      <w:bookmarkStart w:id="0" w:name="_Toc471398463"/>
      <w:r>
        <w:rPr>
          <w:rFonts w:hint="eastAsia" w:ascii="Times New Roman" w:hAnsi="Times New Roman" w:eastAsia="仿宋" w:cs="仿宋"/>
          <w:b/>
          <w:bCs/>
          <w:sz w:val="32"/>
          <w:szCs w:val="32"/>
        </w:rPr>
        <w:t>总体绩效目标：</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围绕县政府本年度中心工作和重点工作，按照本年度财政预算合理安排资金；对县政府各种会议及大型会议提前早安排，保证会议如期成功举行；认真搞好县政府接待工作；认真搞好政府后勤服务和机关事务管理，保证县政府日常工作良好运转；办理好县政府交办的其他事项。</w:t>
      </w:r>
    </w:p>
    <w:p>
      <w:pPr>
        <w:autoSpaceDE w:val="0"/>
        <w:autoSpaceDN w:val="0"/>
        <w:adjustRightInd w:val="0"/>
        <w:ind w:left="198" w:firstLine="643" w:firstLineChars="200"/>
        <w:jc w:val="left"/>
        <w:rPr>
          <w:rFonts w:ascii="Times New Roman" w:hAnsi="Times New Roman" w:eastAsia="仿宋" w:cs="Times New Roman"/>
          <w:b/>
          <w:bCs/>
          <w:sz w:val="32"/>
          <w:szCs w:val="32"/>
        </w:rPr>
      </w:pPr>
      <w:r>
        <w:rPr>
          <w:rFonts w:hint="eastAsia" w:ascii="Times New Roman" w:hAnsi="Times New Roman" w:eastAsia="仿宋" w:cs="仿宋"/>
          <w:b/>
          <w:bCs/>
          <w:sz w:val="32"/>
          <w:szCs w:val="32"/>
        </w:rPr>
        <w:t>职责分类绩效目标：</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突出政务、加强事务、提升服务，力求重点工作出精品，难点工作求突破、基础工作有创新、常规工作见特色。以机关干部作风量化指标为依据，增强了工作综合服务实力。建设运行维护好县政府应急平台，实现各种实用功能，有效保证县政府日常应急值守和突发事件应对处置工作；进一步加强应急宣传培训工作，拓宽宣教渠道、扩大受众面、增强工作实效；进一步完善应急预案体系建设，认真编制、严格审核应急预案，确保预案内容科学合理，有效组织实施；进一步加强应急演练工作，提升演练效果，确保遇突发事件能够有效应对；充分发挥专家组的决策咨询和技术指导作用，为突发事件应对处置工作提供更大帮助；做好指导、协调各乡镇、各部门应急工作，确保信息报送及时畅通，不出差错和问题。以服务领导和机关保障有力为目标，增强了优质后勤管理水平，通过加强公车管理，降低运行成本，为创建节约型机关打下了良好的基础。采取保障县政府领导和机关工作办公环境的措施，提升了服务管理水平，保障了县领导和机关工作的正常运转。及时了解国内外形势、党和国家的方针政策以及县委、县政府办公室的重要部署和要求，及时为老干部提供优质高效服务。</w:t>
      </w:r>
    </w:p>
    <w:bookmarkEnd w:id="0"/>
    <w:p>
      <w:pPr>
        <w:autoSpaceDE w:val="0"/>
        <w:autoSpaceDN w:val="0"/>
        <w:adjustRightInd w:val="0"/>
        <w:ind w:left="198" w:firstLine="643" w:firstLineChars="200"/>
        <w:jc w:val="left"/>
        <w:rPr>
          <w:rFonts w:ascii="Times New Roman" w:hAnsi="Times New Roman" w:eastAsia="仿宋" w:cs="Times New Roman"/>
          <w:b/>
          <w:bCs/>
          <w:sz w:val="32"/>
          <w:szCs w:val="32"/>
        </w:rPr>
      </w:pPr>
      <w:r>
        <w:rPr>
          <w:rFonts w:hint="eastAsia" w:ascii="Times New Roman" w:hAnsi="Times New Roman" w:eastAsia="仿宋" w:cs="仿宋"/>
          <w:b/>
          <w:bCs/>
          <w:sz w:val="32"/>
          <w:szCs w:val="32"/>
        </w:rPr>
        <w:t>部门职责及工作活动绩效目标指标：</w:t>
      </w:r>
    </w:p>
    <w:p>
      <w:pPr>
        <w:jc w:val="center"/>
        <w:outlineLvl w:val="0"/>
        <w:rPr>
          <w:rFonts w:ascii="方正小标宋_GBK" w:hAnsi="Times New Roman" w:eastAsia="方正小标宋_GBK" w:cs="Times New Roman"/>
          <w:sz w:val="32"/>
          <w:szCs w:val="32"/>
        </w:rPr>
      </w:pPr>
    </w:p>
    <w:p>
      <w:pPr>
        <w:jc w:val="center"/>
        <w:outlineLvl w:val="0"/>
        <w:rPr>
          <w:rFonts w:ascii="方正小标宋_GBK" w:eastAsia="方正小标宋_GBK" w:cs="Times New Roman"/>
          <w:color w:val="FFFFFF"/>
          <w:sz w:val="32"/>
          <w:szCs w:val="32"/>
        </w:rPr>
      </w:pPr>
      <w:bookmarkStart w:id="1" w:name="_Toc1980000"/>
      <w:r>
        <w:rPr>
          <w:rFonts w:hint="eastAsia" w:ascii="方正小标宋_GBK" w:eastAsia="方正小标宋_GBK" w:cs="方正小标宋_GBK"/>
          <w:sz w:val="32"/>
          <w:szCs w:val="32"/>
        </w:rPr>
        <w:t>部门职责</w:t>
      </w:r>
      <w:r>
        <w:rPr>
          <w:rFonts w:ascii="方正小标宋_GBK" w:eastAsia="方正小标宋_GBK" w:cs="方正小标宋_GBK"/>
          <w:sz w:val="32"/>
          <w:szCs w:val="32"/>
        </w:rPr>
        <w:t>-</w:t>
      </w:r>
      <w:r>
        <w:rPr>
          <w:rFonts w:hint="eastAsia" w:ascii="方正小标宋_GBK" w:eastAsia="方正小标宋_GBK" w:cs="方正小标宋_GBK"/>
          <w:sz w:val="32"/>
          <w:szCs w:val="32"/>
        </w:rPr>
        <w:t>工作活动绩效目标</w:t>
      </w:r>
      <w:r>
        <w:rPr>
          <w:rStyle w:val="8"/>
          <w:rFonts w:hint="eastAsia" w:ascii="方正小标宋_GBK" w:hAnsi="Symbol" w:eastAsia="方正小标宋_GBK" w:cs="Times New Roman"/>
          <w:color w:val="FFFFFF"/>
          <w:sz w:val="32"/>
          <w:szCs w:val="32"/>
        </w:rPr>
        <w:footnoteReference w:id="0" w:customMarkFollows="1"/>
        <w:sym w:font="Symbol" w:char="F020"/>
      </w:r>
      <w:bookmarkEnd w:id="1"/>
    </w:p>
    <w:tbl>
      <w:tblPr>
        <w:tblStyle w:val="9"/>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434</w:t>
            </w:r>
            <w:r>
              <w:rPr>
                <w:rFonts w:hint="eastAsia" w:ascii="方正小标宋_GBK" w:eastAsia="方正小标宋_GBK" w:cs="方正小标宋_GBK"/>
                <w:sz w:val="24"/>
                <w:szCs w:val="24"/>
              </w:rPr>
              <w:t>隆尧县政府办</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cs="Times New Roman"/>
              </w:rPr>
            </w:pPr>
          </w:p>
        </w:tc>
        <w:tc>
          <w:tcPr>
            <w:tcW w:w="1276" w:type="dxa"/>
            <w:vMerge w:val="continue"/>
            <w:vAlign w:val="center"/>
          </w:tcPr>
          <w:p>
            <w:pPr>
              <w:spacing w:line="300" w:lineRule="exact"/>
              <w:jc w:val="left"/>
              <w:outlineLvl w:val="0"/>
              <w:rPr>
                <w:rFonts w:cs="Times New Roman"/>
              </w:rPr>
            </w:pPr>
          </w:p>
        </w:tc>
        <w:tc>
          <w:tcPr>
            <w:tcW w:w="2976" w:type="dxa"/>
            <w:vMerge w:val="continue"/>
            <w:vAlign w:val="center"/>
          </w:tcPr>
          <w:p>
            <w:pPr>
              <w:spacing w:line="300" w:lineRule="exact"/>
              <w:jc w:val="left"/>
              <w:outlineLvl w:val="0"/>
              <w:rPr>
                <w:rFonts w:cs="Times New Roman"/>
              </w:rPr>
            </w:pPr>
          </w:p>
        </w:tc>
        <w:tc>
          <w:tcPr>
            <w:tcW w:w="2976" w:type="dxa"/>
            <w:vMerge w:val="continue"/>
            <w:vAlign w:val="center"/>
          </w:tcPr>
          <w:p>
            <w:pPr>
              <w:spacing w:line="300" w:lineRule="exact"/>
              <w:jc w:val="left"/>
              <w:outlineLvl w:val="0"/>
              <w:rPr>
                <w:rFonts w:cs="Times New Roman"/>
              </w:rPr>
            </w:pPr>
          </w:p>
        </w:tc>
        <w:tc>
          <w:tcPr>
            <w:tcW w:w="1417" w:type="dxa"/>
            <w:vMerge w:val="continue"/>
            <w:vAlign w:val="center"/>
          </w:tcPr>
          <w:p>
            <w:pPr>
              <w:spacing w:line="300" w:lineRule="exact"/>
              <w:jc w:val="left"/>
              <w:outlineLvl w:val="0"/>
              <w:rPr>
                <w:rFonts w:cs="Times New Roman"/>
              </w:rPr>
            </w:pP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一、政务公开</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3533797</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承担县政务公开暨行政权力公开透明运行工作领导小组的日常工作，指导和协调全县政务公开及政务服务中心建设、推进行政服务体系标准化建设工作；推进、指导、协调、监督权县政府信息公开工作。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凸出政务、加强事务、提升服务，力求重点工作出精品，难点工作求突破、基础工作有创新、常规工作见特色。以机关干部作风量化指标为依据，增强了工作综合服务实力。</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政务公开率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、政务公开</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3533797</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承担县政务公开暨行政权力公开透明运行工作领导小组的日常工作，指导和协调全县政务公开及政务服务中心建设、推进行政服务体系标准化建设工作；推进、指导、协调、监督权县政府信息公开工作。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凸出政务、加强事务、提升服务，力求重点工作出精品，难点工作求突破、基础工作有创新、常规工作见特色。以机关干部作风量化指标为依据，增强了工作综合服务实力。</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政务公开率</w:t>
            </w:r>
          </w:p>
        </w:tc>
        <w:tc>
          <w:tcPr>
            <w:tcW w:w="737" w:type="dxa"/>
            <w:vAlign w:val="center"/>
          </w:tcPr>
          <w:p>
            <w:pPr>
              <w:spacing w:line="300" w:lineRule="exact"/>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二、地方金融机构建设和监管</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90000</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拟定加强地方金融机构建设的指导意见，组织协调新设立的地方法人金融机构的谋划、申报等前期工作，指导新型农村金融机构组建和发展，负责全县农村信用社改革的组织、协调。</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促进地方金融机构健康发展</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政策研究和文件发布</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完成并发布</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基本完成</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未完成</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、地方金融机构建设</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90000</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拟定加强地方金融机构建设的指导意见，组织协调新设立的地方法人金融机构的谋划、申报等前期工作，指导新型农村金融机构组建和发展，组织、协调全县农村信用社改革。</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促进地方金融机构健康发展</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政策研究和文件发布</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完成并发布</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基本完成</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未完成</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三、督查督办</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42000</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政务公开、县政府会议管理、督察督办、政务联络等工作。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突出政务、加强事务、提升服务，力求重点工作出精品，难点工作求突破、基础工作有创新、常规工作见特色。以机关干部作风量化指标为依据，增强了工作综合服务实力。</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决策部署督查反馈率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、督查督办</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42000</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督促检查县政府各部门对市政府和县政府决定事项及市政府、县政府领导重要指示的执行落实情况并跟踪调研，及时向县政府领导报告。组织承办人大代表和政协提案工作。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突出政务、加强事务、提升服务，力求重点工作出精品，难点工作求突破、基础工作有创新、常规工作见特色。以机关干部作风量化指标为依据，增强了工作综合服务实力。</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决策部署督查反馈率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color w:val="auto"/>
              </w:rPr>
            </w:pPr>
            <w:r>
              <w:rPr>
                <w:rFonts w:hint="eastAsia" w:ascii="方正书宋_GBK" w:eastAsia="方正书宋_GBK" w:cs="方正书宋_GBK"/>
                <w:b/>
                <w:bCs/>
                <w:color w:val="auto"/>
                <w:lang w:eastAsia="zh-CN"/>
              </w:rPr>
              <w:t>四</w:t>
            </w:r>
            <w:r>
              <w:rPr>
                <w:rFonts w:hint="eastAsia" w:ascii="方正书宋_GBK" w:eastAsia="方正书宋_GBK" w:cs="方正书宋_GBK"/>
                <w:b/>
                <w:bCs/>
                <w:color w:val="auto"/>
              </w:rPr>
              <w:t>、电子政务管理</w:t>
            </w:r>
          </w:p>
        </w:tc>
        <w:tc>
          <w:tcPr>
            <w:tcW w:w="1276" w:type="dxa"/>
            <w:vAlign w:val="center"/>
          </w:tcPr>
          <w:p>
            <w:pPr>
              <w:spacing w:line="300" w:lineRule="exact"/>
              <w:jc w:val="left"/>
              <w:rPr>
                <w:rFonts w:ascii="方正书宋_GBK" w:eastAsia="方正书宋_GBK" w:cs="方正书宋_GBK"/>
                <w:color w:val="auto"/>
              </w:rPr>
            </w:pPr>
            <w:r>
              <w:rPr>
                <w:rFonts w:hint="eastAsia" w:ascii="方正书宋_GBK" w:eastAsia="方正书宋_GBK" w:cs="方正书宋_GBK"/>
                <w:color w:val="auto"/>
                <w:lang w:val="en-US" w:eastAsia="zh-CN"/>
              </w:rPr>
              <w:t>93</w:t>
            </w:r>
            <w:r>
              <w:rPr>
                <w:rFonts w:ascii="方正书宋_GBK" w:eastAsia="方正书宋_GBK" w:cs="方正书宋_GBK"/>
                <w:color w:val="auto"/>
              </w:rPr>
              <w:t>000</w:t>
            </w:r>
          </w:p>
        </w:tc>
        <w:tc>
          <w:tcPr>
            <w:tcW w:w="2976"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政务信息服务工作和全县政府系统机关电子政务工作。</w:t>
            </w:r>
          </w:p>
        </w:tc>
        <w:tc>
          <w:tcPr>
            <w:tcW w:w="2976"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确保各类会议顺利进行；保障县政府网络系统安全、稳定运行，技术设备安全可用。严格执行会议技术保障服务流程和电视电话会议室管理制度。切实提高技术保障和服务能力，力争领导满意、群众满意、部门满意。</w:t>
            </w:r>
          </w:p>
        </w:tc>
        <w:tc>
          <w:tcPr>
            <w:tcW w:w="141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网站事故次数</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0</w:t>
            </w:r>
            <w:r>
              <w:rPr>
                <w:rFonts w:hint="eastAsia" w:ascii="方正书宋_GBK" w:eastAsia="方正书宋_GBK" w:cs="方正书宋_GBK"/>
                <w:color w:val="auto"/>
              </w:rPr>
              <w:t>次</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5</w:t>
            </w:r>
            <w:r>
              <w:rPr>
                <w:rFonts w:hint="eastAsia" w:ascii="方正书宋_GBK" w:eastAsia="方正书宋_GBK" w:cs="方正书宋_GBK"/>
                <w:color w:val="auto"/>
              </w:rPr>
              <w:t>次及以下</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10</w:t>
            </w:r>
            <w:r>
              <w:rPr>
                <w:rFonts w:hint="eastAsia" w:ascii="方正书宋_GBK" w:eastAsia="方正书宋_GBK" w:cs="方正书宋_GBK"/>
                <w:color w:val="auto"/>
              </w:rPr>
              <w:t>次及以下</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15</w:t>
            </w:r>
            <w:r>
              <w:rPr>
                <w:rFonts w:hint="eastAsia" w:ascii="方正书宋_GBK" w:eastAsia="方正书宋_GBK" w:cs="方正书宋_GBK"/>
                <w:color w:val="auto"/>
              </w:rPr>
              <w:t>次及以下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cs="方正书宋_GBK"/>
                <w:b/>
                <w:bCs/>
                <w:color w:val="auto"/>
                <w:lang w:eastAsia="zh-CN"/>
              </w:rPr>
            </w:pPr>
            <w:r>
              <w:rPr>
                <w:rFonts w:hint="eastAsia" w:ascii="方正书宋_GBK" w:eastAsia="方正书宋_GBK" w:cs="方正书宋_GBK"/>
                <w:b/>
                <w:bCs/>
                <w:color w:val="auto"/>
              </w:rPr>
              <w:t>　　</w:t>
            </w:r>
            <w:r>
              <w:rPr>
                <w:rFonts w:ascii="方正书宋_GBK" w:eastAsia="方正书宋_GBK" w:cs="方正书宋_GBK"/>
                <w:b/>
                <w:bCs/>
                <w:color w:val="auto"/>
              </w:rPr>
              <w:t>1</w:t>
            </w:r>
            <w:r>
              <w:rPr>
                <w:rFonts w:hint="eastAsia" w:ascii="方正书宋_GBK" w:eastAsia="方正书宋_GBK" w:cs="方正书宋_GBK"/>
                <w:b/>
                <w:bCs/>
                <w:color w:val="auto"/>
              </w:rPr>
              <w:t>、政府电子政务管理与服务</w:t>
            </w:r>
          </w:p>
        </w:tc>
        <w:tc>
          <w:tcPr>
            <w:tcW w:w="1276" w:type="dxa"/>
            <w:vAlign w:val="center"/>
          </w:tcPr>
          <w:p>
            <w:pPr>
              <w:spacing w:line="300" w:lineRule="exact"/>
              <w:jc w:val="left"/>
              <w:rPr>
                <w:rFonts w:hint="eastAsia" w:ascii="方正书宋_GBK" w:eastAsia="方正书宋_GBK" w:cs="方正书宋_GBK"/>
                <w:color w:val="auto"/>
                <w:lang w:val="en-US" w:eastAsia="zh-CN"/>
              </w:rPr>
            </w:pPr>
            <w:r>
              <w:rPr>
                <w:rFonts w:hint="eastAsia" w:ascii="方正书宋_GBK" w:eastAsia="方正书宋_GBK" w:cs="方正书宋_GBK"/>
                <w:color w:val="auto"/>
                <w:lang w:val="en-US" w:eastAsia="zh-CN"/>
              </w:rPr>
              <w:t>93000</w:t>
            </w:r>
          </w:p>
          <w:p>
            <w:pPr>
              <w:spacing w:line="300" w:lineRule="exact"/>
              <w:jc w:val="left"/>
              <w:rPr>
                <w:rFonts w:hint="default" w:ascii="方正书宋_GBK" w:eastAsia="方正书宋_GBK" w:cs="方正书宋_GBK"/>
                <w:color w:val="auto"/>
                <w:lang w:val="en-US" w:eastAsia="zh-CN"/>
              </w:rPr>
            </w:pPr>
          </w:p>
        </w:tc>
        <w:tc>
          <w:tcPr>
            <w:tcW w:w="2976" w:type="dxa"/>
            <w:vAlign w:val="center"/>
          </w:tcPr>
          <w:p>
            <w:pPr>
              <w:spacing w:line="300" w:lineRule="exact"/>
              <w:jc w:val="left"/>
              <w:rPr>
                <w:rFonts w:hint="eastAsia" w:ascii="方正书宋_GBK" w:eastAsia="方正书宋_GBK" w:cs="方正书宋_GBK"/>
                <w:color w:val="auto"/>
              </w:rPr>
            </w:pPr>
            <w:r>
              <w:rPr>
                <w:rFonts w:hint="eastAsia" w:ascii="方正书宋_GBK" w:eastAsia="方正书宋_GBK" w:cs="方正书宋_GBK"/>
                <w:color w:val="auto"/>
              </w:rPr>
              <w:t>政务信息服务工作和全县政府系统机关电子政务工作。</w:t>
            </w:r>
          </w:p>
        </w:tc>
        <w:tc>
          <w:tcPr>
            <w:tcW w:w="2976" w:type="dxa"/>
            <w:vAlign w:val="center"/>
          </w:tcPr>
          <w:p>
            <w:pPr>
              <w:spacing w:line="300" w:lineRule="exact"/>
              <w:jc w:val="left"/>
              <w:rPr>
                <w:rFonts w:hint="eastAsia" w:ascii="方正书宋_GBK" w:eastAsia="方正书宋_GBK" w:cs="方正书宋_GBK"/>
                <w:color w:val="auto"/>
              </w:rPr>
            </w:pPr>
            <w:r>
              <w:rPr>
                <w:rFonts w:hint="eastAsia" w:ascii="方正书宋_GBK" w:eastAsia="方正书宋_GBK" w:cs="方正书宋_GBK"/>
                <w:color w:val="auto"/>
              </w:rPr>
              <w:t>确保各类会议顺利进行；保障县政府网络系统安全、稳定运行，技术设备安全可用。严格执行会议技术保障服务流程和电视电话会议室管理制度。切实提高技术保障和服务能力，力争领导满意、群众满意、部门满意。</w:t>
            </w:r>
          </w:p>
        </w:tc>
        <w:tc>
          <w:tcPr>
            <w:tcW w:w="1417" w:type="dxa"/>
            <w:vAlign w:val="center"/>
          </w:tcPr>
          <w:p>
            <w:pPr>
              <w:spacing w:line="300" w:lineRule="exact"/>
              <w:jc w:val="left"/>
              <w:rPr>
                <w:rFonts w:hint="eastAsia" w:ascii="方正书宋_GBK" w:eastAsia="方正书宋_GBK" w:cs="方正书宋_GBK"/>
                <w:color w:val="auto"/>
              </w:rPr>
            </w:pPr>
            <w:r>
              <w:rPr>
                <w:rFonts w:hint="eastAsia" w:ascii="方正书宋_GBK" w:eastAsia="方正书宋_GBK" w:cs="方正书宋_GBK"/>
                <w:color w:val="auto"/>
              </w:rPr>
              <w:t>网站事故次数</w:t>
            </w:r>
          </w:p>
        </w:tc>
        <w:tc>
          <w:tcPr>
            <w:tcW w:w="737" w:type="dxa"/>
            <w:vAlign w:val="center"/>
          </w:tcPr>
          <w:p>
            <w:pPr>
              <w:spacing w:line="300" w:lineRule="exact"/>
              <w:jc w:val="center"/>
              <w:rPr>
                <w:rFonts w:ascii="方正书宋_GBK" w:eastAsia="方正书宋_GBK" w:cs="方正书宋_GBK"/>
                <w:color w:val="auto"/>
              </w:rPr>
            </w:pPr>
            <w:r>
              <w:rPr>
                <w:rFonts w:ascii="方正书宋_GBK" w:eastAsia="方正书宋_GBK" w:cs="方正书宋_GBK"/>
                <w:color w:val="auto"/>
              </w:rPr>
              <w:t>0</w:t>
            </w:r>
            <w:r>
              <w:rPr>
                <w:rFonts w:hint="eastAsia" w:ascii="方正书宋_GBK" w:eastAsia="方正书宋_GBK" w:cs="方正书宋_GBK"/>
                <w:color w:val="auto"/>
              </w:rPr>
              <w:t>次</w:t>
            </w:r>
          </w:p>
        </w:tc>
        <w:tc>
          <w:tcPr>
            <w:tcW w:w="737" w:type="dxa"/>
            <w:vAlign w:val="center"/>
          </w:tcPr>
          <w:p>
            <w:pPr>
              <w:spacing w:line="300" w:lineRule="exact"/>
              <w:jc w:val="center"/>
              <w:rPr>
                <w:rFonts w:ascii="方正书宋_GBK" w:eastAsia="方正书宋_GBK" w:cs="方正书宋_GBK"/>
                <w:color w:val="auto"/>
              </w:rPr>
            </w:pPr>
            <w:r>
              <w:rPr>
                <w:rFonts w:ascii="方正书宋_GBK" w:eastAsia="方正书宋_GBK" w:cs="方正书宋_GBK"/>
                <w:color w:val="auto"/>
              </w:rPr>
              <w:t>5</w:t>
            </w:r>
            <w:r>
              <w:rPr>
                <w:rFonts w:hint="eastAsia" w:ascii="方正书宋_GBK" w:eastAsia="方正书宋_GBK" w:cs="方正书宋_GBK"/>
                <w:color w:val="auto"/>
              </w:rPr>
              <w:t>次及以下</w:t>
            </w:r>
          </w:p>
        </w:tc>
        <w:tc>
          <w:tcPr>
            <w:tcW w:w="737" w:type="dxa"/>
            <w:vAlign w:val="center"/>
          </w:tcPr>
          <w:p>
            <w:pPr>
              <w:spacing w:line="300" w:lineRule="exact"/>
              <w:jc w:val="center"/>
              <w:rPr>
                <w:rFonts w:ascii="方正书宋_GBK" w:eastAsia="方正书宋_GBK" w:cs="方正书宋_GBK"/>
                <w:color w:val="auto"/>
              </w:rPr>
            </w:pPr>
            <w:r>
              <w:rPr>
                <w:rFonts w:ascii="方正书宋_GBK" w:eastAsia="方正书宋_GBK" w:cs="方正书宋_GBK"/>
                <w:color w:val="auto"/>
              </w:rPr>
              <w:t>10</w:t>
            </w:r>
            <w:r>
              <w:rPr>
                <w:rFonts w:hint="eastAsia" w:ascii="方正书宋_GBK" w:eastAsia="方正书宋_GBK" w:cs="方正书宋_GBK"/>
                <w:color w:val="auto"/>
              </w:rPr>
              <w:t>次及以下</w:t>
            </w:r>
          </w:p>
        </w:tc>
        <w:tc>
          <w:tcPr>
            <w:tcW w:w="737" w:type="dxa"/>
            <w:vAlign w:val="center"/>
          </w:tcPr>
          <w:p>
            <w:pPr>
              <w:spacing w:line="300" w:lineRule="exact"/>
              <w:jc w:val="center"/>
              <w:rPr>
                <w:rFonts w:ascii="方正书宋_GBK" w:eastAsia="方正书宋_GBK" w:cs="方正书宋_GBK"/>
                <w:color w:val="auto"/>
              </w:rPr>
            </w:pPr>
            <w:r>
              <w:rPr>
                <w:rFonts w:ascii="方正书宋_GBK" w:eastAsia="方正书宋_GBK" w:cs="方正书宋_GBK"/>
                <w:color w:val="auto"/>
              </w:rPr>
              <w:t>15</w:t>
            </w:r>
            <w:r>
              <w:rPr>
                <w:rFonts w:hint="eastAsia" w:ascii="方正书宋_GBK" w:eastAsia="方正书宋_GBK" w:cs="方正书宋_GBK"/>
                <w:color w:val="auto"/>
              </w:rPr>
              <w:t>次及以下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color w:val="auto"/>
              </w:rPr>
            </w:pPr>
            <w:r>
              <w:rPr>
                <w:rFonts w:hint="eastAsia" w:ascii="方正书宋_GBK" w:eastAsia="方正书宋_GBK" w:cs="方正书宋_GBK"/>
                <w:b/>
                <w:bCs/>
                <w:color w:val="auto"/>
                <w:lang w:eastAsia="zh-CN"/>
              </w:rPr>
              <w:t>五</w:t>
            </w:r>
            <w:r>
              <w:rPr>
                <w:rFonts w:hint="eastAsia" w:ascii="方正书宋_GBK" w:eastAsia="方正书宋_GBK" w:cs="方正书宋_GBK"/>
                <w:b/>
                <w:bCs/>
                <w:color w:val="auto"/>
              </w:rPr>
              <w:t>、指导、监督成员单位</w:t>
            </w:r>
          </w:p>
        </w:tc>
        <w:tc>
          <w:tcPr>
            <w:tcW w:w="1276" w:type="dxa"/>
            <w:vAlign w:val="center"/>
          </w:tcPr>
          <w:p>
            <w:pPr>
              <w:spacing w:line="300" w:lineRule="exact"/>
              <w:jc w:val="left"/>
              <w:rPr>
                <w:rFonts w:hint="eastAsia" w:ascii="方正书宋_GBK" w:eastAsia="方正书宋_GBK" w:cs="方正书宋_GBK"/>
                <w:color w:val="auto"/>
                <w:lang w:val="en-US" w:eastAsia="zh-CN"/>
              </w:rPr>
            </w:pPr>
            <w:r>
              <w:rPr>
                <w:rFonts w:hint="eastAsia" w:ascii="方正书宋_GBK" w:eastAsia="方正书宋_GBK" w:cs="方正书宋_GBK"/>
                <w:color w:val="auto"/>
                <w:lang w:val="en-US" w:eastAsia="zh-CN"/>
              </w:rPr>
              <w:t>42000</w:t>
            </w:r>
          </w:p>
          <w:p>
            <w:pPr>
              <w:spacing w:line="300" w:lineRule="exact"/>
              <w:jc w:val="left"/>
              <w:rPr>
                <w:rFonts w:hint="default" w:ascii="方正书宋_GBK" w:eastAsia="方正书宋_GBK" w:cs="方正书宋_GBK"/>
                <w:color w:val="auto"/>
                <w:lang w:val="en-US" w:eastAsia="zh-CN"/>
              </w:rPr>
            </w:pPr>
          </w:p>
        </w:tc>
        <w:tc>
          <w:tcPr>
            <w:tcW w:w="2976"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指导、监督全县综合治税成员单位工作</w:t>
            </w:r>
          </w:p>
        </w:tc>
        <w:tc>
          <w:tcPr>
            <w:tcW w:w="2976"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监督成员单位及时、完整、准确上报涉税信息，强化业务培训，不断提高业务素质</w:t>
            </w:r>
          </w:p>
        </w:tc>
        <w:tc>
          <w:tcPr>
            <w:tcW w:w="141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涉税信息处理反馈率</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100%</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95%</w:t>
            </w:r>
            <w:r>
              <w:rPr>
                <w:rFonts w:hint="eastAsia" w:ascii="方正书宋_GBK" w:eastAsia="方正书宋_GBK" w:cs="方正书宋_GBK"/>
                <w:color w:val="auto"/>
              </w:rPr>
              <w:t>及以上</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90%</w:t>
            </w:r>
            <w:r>
              <w:rPr>
                <w:rFonts w:hint="eastAsia" w:ascii="方正书宋_GBK" w:eastAsia="方正书宋_GBK" w:cs="方正书宋_GBK"/>
                <w:color w:val="auto"/>
              </w:rPr>
              <w:t>及以上</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90%</w:t>
            </w:r>
            <w:r>
              <w:rPr>
                <w:rFonts w:hint="eastAsia" w:ascii="方正书宋_GBK" w:eastAsia="方正书宋_GBK" w:cs="方正书宋_GBK"/>
                <w:color w:val="auto"/>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color w:val="auto"/>
              </w:rPr>
            </w:pPr>
            <w:r>
              <w:rPr>
                <w:rFonts w:hint="eastAsia" w:ascii="方正书宋_GBK" w:eastAsia="方正书宋_GBK" w:cs="方正书宋_GBK"/>
                <w:b/>
                <w:bCs/>
                <w:color w:val="auto"/>
              </w:rPr>
              <w:t>　　</w:t>
            </w:r>
            <w:r>
              <w:rPr>
                <w:rFonts w:ascii="方正书宋_GBK" w:eastAsia="方正书宋_GBK" w:cs="方正书宋_GBK"/>
                <w:b/>
                <w:bCs/>
                <w:color w:val="auto"/>
              </w:rPr>
              <w:t>1</w:t>
            </w:r>
            <w:r>
              <w:rPr>
                <w:rFonts w:hint="eastAsia" w:ascii="方正书宋_GBK" w:eastAsia="方正书宋_GBK" w:cs="方正书宋_GBK"/>
                <w:b/>
                <w:bCs/>
                <w:color w:val="auto"/>
              </w:rPr>
              <w:t>、业务培训</w:t>
            </w:r>
          </w:p>
        </w:tc>
        <w:tc>
          <w:tcPr>
            <w:tcW w:w="1276" w:type="dxa"/>
            <w:vAlign w:val="center"/>
          </w:tcPr>
          <w:p>
            <w:pPr>
              <w:spacing w:line="300" w:lineRule="exact"/>
              <w:jc w:val="lef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42000</w:t>
            </w:r>
          </w:p>
        </w:tc>
        <w:tc>
          <w:tcPr>
            <w:tcW w:w="2976"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指导、监督全县综合治税成员单位工作</w:t>
            </w:r>
          </w:p>
        </w:tc>
        <w:tc>
          <w:tcPr>
            <w:tcW w:w="2976"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监督成员单位及时、完整、准确上报涉税信息，强化业务培训，不断提高业务素质</w:t>
            </w:r>
          </w:p>
        </w:tc>
        <w:tc>
          <w:tcPr>
            <w:tcW w:w="141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涉税信息处理反馈率</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100%</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95%</w:t>
            </w:r>
            <w:r>
              <w:rPr>
                <w:rFonts w:hint="eastAsia" w:ascii="方正书宋_GBK" w:eastAsia="方正书宋_GBK" w:cs="方正书宋_GBK"/>
                <w:color w:val="auto"/>
              </w:rPr>
              <w:t>及以上</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90%</w:t>
            </w:r>
            <w:r>
              <w:rPr>
                <w:rFonts w:hint="eastAsia" w:ascii="方正书宋_GBK" w:eastAsia="方正书宋_GBK" w:cs="方正书宋_GBK"/>
                <w:color w:val="auto"/>
              </w:rPr>
              <w:t>及以上</w:t>
            </w:r>
          </w:p>
        </w:tc>
        <w:tc>
          <w:tcPr>
            <w:tcW w:w="737" w:type="dxa"/>
            <w:vAlign w:val="center"/>
          </w:tcPr>
          <w:p>
            <w:pPr>
              <w:spacing w:line="300" w:lineRule="exact"/>
              <w:jc w:val="center"/>
              <w:rPr>
                <w:rFonts w:ascii="方正书宋_GBK" w:eastAsia="方正书宋_GBK" w:cs="Times New Roman"/>
                <w:color w:val="auto"/>
              </w:rPr>
            </w:pPr>
            <w:r>
              <w:rPr>
                <w:rFonts w:ascii="方正书宋_GBK" w:eastAsia="方正书宋_GBK" w:cs="方正书宋_GBK"/>
                <w:color w:val="auto"/>
              </w:rPr>
              <w:t>90%</w:t>
            </w:r>
            <w:r>
              <w:rPr>
                <w:rFonts w:hint="eastAsia" w:ascii="方正书宋_GBK" w:eastAsia="方正书宋_GBK" w:cs="方正书宋_GBK"/>
                <w:color w:val="auto"/>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lang w:eastAsia="zh-CN"/>
              </w:rPr>
              <w:t>六</w:t>
            </w:r>
            <w:r>
              <w:rPr>
                <w:rFonts w:hint="eastAsia" w:ascii="方正书宋_GBK" w:eastAsia="方正书宋_GBK" w:cs="方正书宋_GBK"/>
                <w:b/>
                <w:bCs/>
              </w:rPr>
              <w:t>、人防事务管理</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10042000</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开展人防法规制度建设；拟定防空事业发展规划，编制人民防空工作年度计划；组织开展防空防灾宣传教育、防空科研；负责人民防空经费和资产管理；指导防空专用设备器材的生产和引进；组织开展人民防空干部教育培训。</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规划、计划不断科学完善，法规制度进一步健全。防空防灾宣传教育成效进一步巩固深化，人防建设成果充分展现，人防建设环境进一步优化，群众防空防灾应急处置能力进一步提高；人防宣教基地（场所）运行良好。</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初级中学人防宣传教育覆盖率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、综合事务管理</w:t>
            </w:r>
          </w:p>
        </w:tc>
        <w:tc>
          <w:tcPr>
            <w:tcW w:w="1276" w:type="dxa"/>
            <w:vAlign w:val="center"/>
          </w:tcPr>
          <w:p>
            <w:pPr>
              <w:spacing w:line="300" w:lineRule="exact"/>
              <w:jc w:val="left"/>
              <w:rPr>
                <w:rFonts w:hint="default" w:ascii="方正书宋_GBK" w:eastAsia="方正书宋_GBK" w:cs="Times New Roman"/>
                <w:lang w:val="en-US" w:eastAsia="zh-CN"/>
              </w:rPr>
            </w:pPr>
            <w:r>
              <w:rPr>
                <w:rFonts w:hint="eastAsia" w:ascii="方正书宋_GBK" w:eastAsia="方正书宋_GBK" w:cs="方正书宋_GBK"/>
                <w:lang w:val="en-US" w:eastAsia="zh-CN"/>
              </w:rPr>
              <w:t>10042000</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开展人防法规制度建设；拟定防空事业发展规划，编制人民防空工作年度计划；组织开展防空防灾宣传教育、防空科研；负责人民防空经费和资产管理；指导防空专用设备器材的生产和引进；组织开展人民防空干部教育培训。</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规划、计划不断科学完善，法规制度进一步健全。防空防灾宣传教育成效进一步巩固深化，人防建设成果充分展现，人防建设环境进一步优化，群众防空防灾应急处置能力进一步提高；人防宣教基地（场所）运行良好。</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初级中学人防宣传教育覆盖率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以下</w:t>
            </w:r>
          </w:p>
        </w:tc>
      </w:tr>
    </w:tbl>
    <w:p>
      <w:pPr>
        <w:spacing w:line="300" w:lineRule="exact"/>
        <w:jc w:val="left"/>
        <w:outlineLvl w:val="0"/>
        <w:rPr>
          <w:rFonts w:cs="Times New Roman"/>
        </w:rPr>
        <w:sectPr>
          <w:headerReference r:id="rId4" w:type="default"/>
          <w:footerReference r:id="rId5" w:type="default"/>
          <w:pgSz w:w="16839" w:h="11907" w:orient="landscape"/>
          <w:pgMar w:top="1020" w:right="1361" w:bottom="1020" w:left="1361"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2" w:name="_Toc471398468"/>
      <w:r>
        <w:rPr>
          <w:rFonts w:ascii="Times New Roman" w:hAnsi="Times New Roman" w:eastAsia="仿宋" w:cs="Times New Roman"/>
          <w:sz w:val="32"/>
          <w:szCs w:val="32"/>
        </w:rPr>
        <w:t xml:space="preserve"> 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年，我部门安排政府采购预算</w:t>
      </w:r>
      <w:r>
        <w:rPr>
          <w:rFonts w:hint="eastAsia" w:ascii="Times New Roman" w:hAnsi="Times New Roman" w:eastAsia="仿宋" w:cs="仿宋"/>
          <w:sz w:val="32"/>
          <w:szCs w:val="32"/>
          <w:lang w:val="en-US" w:eastAsia="zh-CN"/>
        </w:rPr>
        <w:t>112</w:t>
      </w:r>
      <w:r>
        <w:rPr>
          <w:rFonts w:hint="eastAsia" w:ascii="Times New Roman" w:hAnsi="Times New Roman" w:eastAsia="仿宋" w:cs="仿宋"/>
          <w:sz w:val="32"/>
          <w:szCs w:val="32"/>
        </w:rPr>
        <w:t>万元。具体内容见下表。</w:t>
      </w:r>
      <w:bookmarkEnd w:id="2"/>
    </w:p>
    <w:p>
      <w:pPr>
        <w:jc w:val="center"/>
        <w:outlineLvl w:val="0"/>
        <w:rPr>
          <w:rFonts w:ascii="方正小标宋_GBK" w:eastAsia="方正小标宋_GBK" w:cs="Times New Roman"/>
          <w:sz w:val="32"/>
          <w:szCs w:val="32"/>
        </w:rPr>
      </w:pPr>
      <w:bookmarkStart w:id="3" w:name="_Toc535404684"/>
      <w:r>
        <w:rPr>
          <w:rFonts w:hint="eastAsia" w:ascii="方正小标宋_GBK" w:eastAsia="方正小标宋_GBK" w:cs="方正小标宋_GBK"/>
          <w:sz w:val="32"/>
          <w:szCs w:val="32"/>
        </w:rPr>
        <w:t>部门政府采购预算</w:t>
      </w:r>
      <w:bookmarkEnd w:id="3"/>
    </w:p>
    <w:p>
      <w:pPr>
        <w:spacing w:line="300" w:lineRule="exact"/>
        <w:jc w:val="left"/>
        <w:outlineLvl w:val="0"/>
        <w:rPr>
          <w:rFonts w:cs="Times New Roman"/>
        </w:rPr>
      </w:pPr>
    </w:p>
    <w:tbl>
      <w:tblPr>
        <w:tblStyle w:val="9"/>
        <w:tblW w:w="1456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6"/>
        <w:gridCol w:w="1266"/>
        <w:gridCol w:w="703"/>
        <w:gridCol w:w="1371"/>
        <w:gridCol w:w="490"/>
        <w:gridCol w:w="846"/>
        <w:gridCol w:w="1161"/>
        <w:gridCol w:w="1275"/>
        <w:gridCol w:w="1275"/>
        <w:gridCol w:w="1275"/>
        <w:gridCol w:w="691"/>
        <w:gridCol w:w="694"/>
        <w:gridCol w:w="694"/>
        <w:gridCol w:w="6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801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434</w:t>
            </w:r>
            <w:r>
              <w:rPr>
                <w:rFonts w:hint="eastAsia" w:ascii="方正小标宋_GBK" w:eastAsia="方正小标宋_GBK" w:cs="方正小标宋_GBK"/>
                <w:sz w:val="24"/>
                <w:szCs w:val="24"/>
              </w:rPr>
              <w:t>隆尧县政府办</w:t>
            </w:r>
          </w:p>
        </w:tc>
        <w:tc>
          <w:tcPr>
            <w:tcW w:w="6555"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3442" w:type="dxa"/>
            <w:gridSpan w:val="2"/>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703"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137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490"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84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116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6555" w:type="dxa"/>
            <w:gridSpan w:val="7"/>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1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126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703" w:type="dxa"/>
            <w:vMerge w:val="continue"/>
            <w:vAlign w:val="center"/>
          </w:tcPr>
          <w:p>
            <w:pPr>
              <w:spacing w:line="300" w:lineRule="exact"/>
              <w:jc w:val="left"/>
              <w:outlineLvl w:val="0"/>
              <w:rPr>
                <w:rFonts w:cs="Times New Roman"/>
              </w:rPr>
            </w:pPr>
          </w:p>
        </w:tc>
        <w:tc>
          <w:tcPr>
            <w:tcW w:w="1371" w:type="dxa"/>
            <w:vMerge w:val="continue"/>
            <w:vAlign w:val="center"/>
          </w:tcPr>
          <w:p>
            <w:pPr>
              <w:spacing w:line="300" w:lineRule="exact"/>
              <w:jc w:val="left"/>
              <w:outlineLvl w:val="0"/>
              <w:rPr>
                <w:rFonts w:cs="Times New Roman"/>
              </w:rPr>
            </w:pPr>
          </w:p>
        </w:tc>
        <w:tc>
          <w:tcPr>
            <w:tcW w:w="490" w:type="dxa"/>
            <w:vMerge w:val="continue"/>
            <w:vAlign w:val="center"/>
          </w:tcPr>
          <w:p>
            <w:pPr>
              <w:spacing w:line="300" w:lineRule="exact"/>
              <w:jc w:val="left"/>
              <w:outlineLvl w:val="0"/>
              <w:rPr>
                <w:rFonts w:cs="Times New Roman"/>
              </w:rPr>
            </w:pPr>
          </w:p>
        </w:tc>
        <w:tc>
          <w:tcPr>
            <w:tcW w:w="846" w:type="dxa"/>
            <w:vMerge w:val="continue"/>
            <w:vAlign w:val="center"/>
          </w:tcPr>
          <w:p>
            <w:pPr>
              <w:spacing w:line="300" w:lineRule="exact"/>
              <w:jc w:val="left"/>
              <w:outlineLvl w:val="0"/>
              <w:rPr>
                <w:rFonts w:cs="Times New Roman"/>
              </w:rPr>
            </w:pPr>
          </w:p>
        </w:tc>
        <w:tc>
          <w:tcPr>
            <w:tcW w:w="1161" w:type="dxa"/>
            <w:vMerge w:val="continue"/>
            <w:vAlign w:val="center"/>
          </w:tcPr>
          <w:p>
            <w:pPr>
              <w:spacing w:line="300" w:lineRule="exact"/>
              <w:jc w:val="left"/>
              <w:outlineLvl w:val="0"/>
              <w:rPr>
                <w:rFonts w:cs="Times New Roman"/>
              </w:rPr>
            </w:pPr>
          </w:p>
        </w:tc>
        <w:tc>
          <w:tcPr>
            <w:tcW w:w="1275"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总计</w:t>
            </w:r>
          </w:p>
        </w:tc>
        <w:tc>
          <w:tcPr>
            <w:tcW w:w="4629" w:type="dxa"/>
            <w:gridSpan w:val="5"/>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当年部门预算安排资金</w:t>
            </w:r>
          </w:p>
        </w:tc>
        <w:tc>
          <w:tcPr>
            <w:tcW w:w="65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176" w:type="dxa"/>
            <w:vMerge w:val="continue"/>
            <w:vAlign w:val="center"/>
          </w:tcPr>
          <w:p>
            <w:pPr>
              <w:spacing w:line="300" w:lineRule="exact"/>
              <w:jc w:val="left"/>
              <w:outlineLvl w:val="0"/>
              <w:rPr>
                <w:rFonts w:cs="Times New Roman"/>
              </w:rPr>
            </w:pPr>
          </w:p>
        </w:tc>
        <w:tc>
          <w:tcPr>
            <w:tcW w:w="1266" w:type="dxa"/>
            <w:vMerge w:val="continue"/>
            <w:vAlign w:val="center"/>
          </w:tcPr>
          <w:p>
            <w:pPr>
              <w:spacing w:line="300" w:lineRule="exact"/>
              <w:jc w:val="left"/>
              <w:outlineLvl w:val="0"/>
              <w:rPr>
                <w:rFonts w:cs="Times New Roman"/>
              </w:rPr>
            </w:pPr>
          </w:p>
        </w:tc>
        <w:tc>
          <w:tcPr>
            <w:tcW w:w="703" w:type="dxa"/>
            <w:vMerge w:val="continue"/>
            <w:vAlign w:val="center"/>
          </w:tcPr>
          <w:p>
            <w:pPr>
              <w:spacing w:line="300" w:lineRule="exact"/>
              <w:jc w:val="left"/>
              <w:outlineLvl w:val="0"/>
              <w:rPr>
                <w:rFonts w:cs="Times New Roman"/>
              </w:rPr>
            </w:pPr>
          </w:p>
        </w:tc>
        <w:tc>
          <w:tcPr>
            <w:tcW w:w="1371" w:type="dxa"/>
            <w:vMerge w:val="continue"/>
            <w:vAlign w:val="center"/>
          </w:tcPr>
          <w:p>
            <w:pPr>
              <w:spacing w:line="300" w:lineRule="exact"/>
              <w:jc w:val="left"/>
              <w:outlineLvl w:val="0"/>
              <w:rPr>
                <w:rFonts w:cs="Times New Roman"/>
              </w:rPr>
            </w:pPr>
          </w:p>
        </w:tc>
        <w:tc>
          <w:tcPr>
            <w:tcW w:w="490" w:type="dxa"/>
            <w:vMerge w:val="continue"/>
            <w:vAlign w:val="center"/>
          </w:tcPr>
          <w:p>
            <w:pPr>
              <w:spacing w:line="300" w:lineRule="exact"/>
              <w:jc w:val="left"/>
              <w:outlineLvl w:val="0"/>
              <w:rPr>
                <w:rFonts w:cs="Times New Roman"/>
              </w:rPr>
            </w:pPr>
          </w:p>
        </w:tc>
        <w:tc>
          <w:tcPr>
            <w:tcW w:w="846" w:type="dxa"/>
            <w:vMerge w:val="continue"/>
            <w:vAlign w:val="center"/>
          </w:tcPr>
          <w:p>
            <w:pPr>
              <w:spacing w:line="300" w:lineRule="exact"/>
              <w:jc w:val="left"/>
              <w:outlineLvl w:val="0"/>
              <w:rPr>
                <w:rFonts w:cs="Times New Roman"/>
              </w:rPr>
            </w:pPr>
          </w:p>
        </w:tc>
        <w:tc>
          <w:tcPr>
            <w:tcW w:w="1161" w:type="dxa"/>
            <w:vMerge w:val="continue"/>
            <w:vAlign w:val="center"/>
          </w:tcPr>
          <w:p>
            <w:pPr>
              <w:spacing w:line="300" w:lineRule="exact"/>
              <w:jc w:val="left"/>
              <w:outlineLvl w:val="0"/>
              <w:rPr>
                <w:rFonts w:cs="Times New Roman"/>
              </w:rPr>
            </w:pPr>
          </w:p>
        </w:tc>
        <w:tc>
          <w:tcPr>
            <w:tcW w:w="1275" w:type="dxa"/>
            <w:vMerge w:val="continue"/>
            <w:vAlign w:val="center"/>
          </w:tcPr>
          <w:p>
            <w:pPr>
              <w:spacing w:line="300" w:lineRule="exact"/>
              <w:jc w:val="left"/>
              <w:outlineLvl w:val="0"/>
              <w:rPr>
                <w:rFonts w:cs="Times New Roman"/>
              </w:rPr>
            </w:pPr>
          </w:p>
        </w:tc>
        <w:tc>
          <w:tcPr>
            <w:tcW w:w="1275"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1275"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69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69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694"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c>
          <w:tcPr>
            <w:tcW w:w="651" w:type="dxa"/>
            <w:vMerge w:val="continue"/>
            <w:vAlign w:val="center"/>
          </w:tcPr>
          <w:p>
            <w:pPr>
              <w:spacing w:line="300" w:lineRule="exact"/>
              <w:jc w:val="left"/>
              <w:outlineLvl w:val="0"/>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1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　计</w:t>
            </w:r>
          </w:p>
        </w:tc>
        <w:tc>
          <w:tcPr>
            <w:tcW w:w="1266" w:type="dxa"/>
            <w:vAlign w:val="center"/>
          </w:tcPr>
          <w:p>
            <w:pPr>
              <w:spacing w:line="300" w:lineRule="exact"/>
              <w:jc w:val="right"/>
              <w:rPr>
                <w:rFonts w:ascii="方正书宋_GBK" w:eastAsia="方正书宋_GBK" w:cs="Times New Roman"/>
                <w:b/>
                <w:bCs/>
              </w:rPr>
            </w:pPr>
          </w:p>
        </w:tc>
        <w:tc>
          <w:tcPr>
            <w:tcW w:w="703" w:type="dxa"/>
            <w:vAlign w:val="center"/>
          </w:tcPr>
          <w:p>
            <w:pPr>
              <w:spacing w:line="300" w:lineRule="exact"/>
              <w:jc w:val="left"/>
              <w:rPr>
                <w:rFonts w:ascii="方正书宋_GBK" w:eastAsia="方正书宋_GBK" w:cs="Times New Roman"/>
                <w:b/>
                <w:bCs/>
              </w:rPr>
            </w:pPr>
          </w:p>
        </w:tc>
        <w:tc>
          <w:tcPr>
            <w:tcW w:w="1371" w:type="dxa"/>
            <w:vAlign w:val="center"/>
          </w:tcPr>
          <w:p>
            <w:pPr>
              <w:spacing w:line="300" w:lineRule="exact"/>
              <w:jc w:val="left"/>
              <w:rPr>
                <w:rFonts w:ascii="方正书宋_GBK" w:eastAsia="方正书宋_GBK" w:cs="Times New Roman"/>
                <w:b/>
                <w:bCs/>
              </w:rPr>
            </w:pPr>
          </w:p>
        </w:tc>
        <w:tc>
          <w:tcPr>
            <w:tcW w:w="490" w:type="dxa"/>
            <w:vAlign w:val="center"/>
          </w:tcPr>
          <w:p>
            <w:pPr>
              <w:spacing w:line="300" w:lineRule="exact"/>
              <w:jc w:val="left"/>
              <w:rPr>
                <w:rFonts w:ascii="方正书宋_GBK" w:eastAsia="方正书宋_GBK" w:cs="Times New Roman"/>
                <w:b/>
                <w:bCs/>
              </w:rPr>
            </w:pPr>
          </w:p>
        </w:tc>
        <w:tc>
          <w:tcPr>
            <w:tcW w:w="846" w:type="dxa"/>
            <w:vAlign w:val="center"/>
          </w:tcPr>
          <w:p>
            <w:pPr>
              <w:spacing w:line="300" w:lineRule="exact"/>
              <w:jc w:val="right"/>
              <w:rPr>
                <w:rFonts w:ascii="方正书宋_GBK" w:eastAsia="方正书宋_GBK" w:cs="Times New Roman"/>
                <w:b/>
                <w:bCs/>
              </w:rPr>
            </w:pPr>
          </w:p>
        </w:tc>
        <w:tc>
          <w:tcPr>
            <w:tcW w:w="1161" w:type="dxa"/>
            <w:vAlign w:val="center"/>
          </w:tcPr>
          <w:p>
            <w:pPr>
              <w:spacing w:line="300" w:lineRule="exact"/>
              <w:jc w:val="right"/>
              <w:rPr>
                <w:rFonts w:ascii="方正书宋_GBK" w:eastAsia="方正书宋_GBK" w:cs="Times New Roman"/>
                <w:b/>
                <w:bCs/>
              </w:rPr>
            </w:pPr>
          </w:p>
        </w:tc>
        <w:tc>
          <w:tcPr>
            <w:tcW w:w="1275" w:type="dxa"/>
            <w:vAlign w:val="center"/>
          </w:tcPr>
          <w:p>
            <w:pPr>
              <w:spacing w:line="300" w:lineRule="exact"/>
              <w:jc w:val="right"/>
              <w:rPr>
                <w:rFonts w:hint="default" w:ascii="方正书宋_GBK" w:eastAsia="方正书宋_GBK" w:cs="方正书宋_GBK"/>
                <w:b/>
                <w:bCs/>
                <w:lang w:val="en-US" w:eastAsia="zh-CN"/>
              </w:rPr>
            </w:pPr>
            <w:r>
              <w:rPr>
                <w:rFonts w:hint="eastAsia" w:ascii="方正书宋_GBK" w:eastAsia="方正书宋_GBK" w:cs="方正书宋_GBK"/>
                <w:b/>
                <w:bCs/>
                <w:lang w:val="en-US" w:eastAsia="zh-CN"/>
              </w:rPr>
              <w:t>1120000.00</w:t>
            </w:r>
          </w:p>
        </w:tc>
        <w:tc>
          <w:tcPr>
            <w:tcW w:w="1275" w:type="dxa"/>
            <w:vAlign w:val="center"/>
          </w:tcPr>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1120000.00</w:t>
            </w:r>
          </w:p>
        </w:tc>
        <w:tc>
          <w:tcPr>
            <w:tcW w:w="1275" w:type="dxa"/>
            <w:vAlign w:val="center"/>
          </w:tcPr>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1120000.00</w:t>
            </w:r>
          </w:p>
        </w:tc>
        <w:tc>
          <w:tcPr>
            <w:tcW w:w="691" w:type="dxa"/>
            <w:vAlign w:val="center"/>
          </w:tcPr>
          <w:p>
            <w:pPr>
              <w:spacing w:line="300" w:lineRule="exact"/>
              <w:jc w:val="right"/>
              <w:rPr>
                <w:rFonts w:ascii="方正书宋_GBK" w:eastAsia="方正书宋_GBK" w:cs="方正书宋_GBK"/>
                <w:b/>
                <w:bCs/>
              </w:rPr>
            </w:pPr>
          </w:p>
        </w:tc>
        <w:tc>
          <w:tcPr>
            <w:tcW w:w="694" w:type="dxa"/>
            <w:vAlign w:val="center"/>
          </w:tcPr>
          <w:p>
            <w:pPr>
              <w:spacing w:line="300" w:lineRule="exact"/>
              <w:jc w:val="right"/>
              <w:rPr>
                <w:rFonts w:ascii="方正书宋_GBK" w:eastAsia="方正书宋_GBK" w:cs="方正书宋_GBK"/>
                <w:b/>
                <w:bCs/>
              </w:rPr>
            </w:pPr>
          </w:p>
        </w:tc>
        <w:tc>
          <w:tcPr>
            <w:tcW w:w="694" w:type="dxa"/>
            <w:vAlign w:val="center"/>
          </w:tcPr>
          <w:p>
            <w:pPr>
              <w:spacing w:line="300" w:lineRule="exact"/>
              <w:jc w:val="right"/>
              <w:rPr>
                <w:rFonts w:ascii="方正书宋_GBK" w:eastAsia="方正书宋_GBK" w:cs="方正书宋_GBK"/>
                <w:b/>
                <w:bCs/>
              </w:rPr>
            </w:pPr>
          </w:p>
        </w:tc>
        <w:tc>
          <w:tcPr>
            <w:tcW w:w="651" w:type="dxa"/>
            <w:vAlign w:val="center"/>
          </w:tcPr>
          <w:p>
            <w:pPr>
              <w:spacing w:line="300" w:lineRule="exact"/>
              <w:jc w:val="right"/>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176"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隆尧县人民政府办公室小计</w:t>
            </w:r>
          </w:p>
        </w:tc>
        <w:tc>
          <w:tcPr>
            <w:tcW w:w="1266" w:type="dxa"/>
            <w:vAlign w:val="center"/>
          </w:tcPr>
          <w:p>
            <w:pPr>
              <w:spacing w:line="300" w:lineRule="exact"/>
              <w:jc w:val="right"/>
              <w:rPr>
                <w:rFonts w:ascii="方正书宋_GBK" w:eastAsia="方正书宋_GBK" w:cs="Times New Roman"/>
                <w:b/>
                <w:bCs/>
              </w:rPr>
            </w:pPr>
          </w:p>
        </w:tc>
        <w:tc>
          <w:tcPr>
            <w:tcW w:w="703" w:type="dxa"/>
            <w:vAlign w:val="center"/>
          </w:tcPr>
          <w:p>
            <w:pPr>
              <w:spacing w:line="300" w:lineRule="exact"/>
              <w:jc w:val="left"/>
              <w:rPr>
                <w:rFonts w:ascii="方正书宋_GBK" w:eastAsia="方正书宋_GBK" w:cs="Times New Roman"/>
                <w:b/>
                <w:bCs/>
              </w:rPr>
            </w:pPr>
          </w:p>
        </w:tc>
        <w:tc>
          <w:tcPr>
            <w:tcW w:w="1371" w:type="dxa"/>
            <w:vAlign w:val="center"/>
          </w:tcPr>
          <w:p>
            <w:pPr>
              <w:spacing w:line="300" w:lineRule="exact"/>
              <w:jc w:val="left"/>
              <w:rPr>
                <w:rFonts w:ascii="方正书宋_GBK" w:eastAsia="方正书宋_GBK" w:cs="Times New Roman"/>
                <w:b/>
                <w:bCs/>
              </w:rPr>
            </w:pPr>
          </w:p>
        </w:tc>
        <w:tc>
          <w:tcPr>
            <w:tcW w:w="490" w:type="dxa"/>
            <w:vAlign w:val="center"/>
          </w:tcPr>
          <w:p>
            <w:pPr>
              <w:spacing w:line="300" w:lineRule="exact"/>
              <w:jc w:val="left"/>
              <w:rPr>
                <w:rFonts w:ascii="方正书宋_GBK" w:eastAsia="方正书宋_GBK" w:cs="Times New Roman"/>
                <w:b/>
                <w:bCs/>
              </w:rPr>
            </w:pPr>
          </w:p>
        </w:tc>
        <w:tc>
          <w:tcPr>
            <w:tcW w:w="846" w:type="dxa"/>
            <w:vAlign w:val="center"/>
          </w:tcPr>
          <w:p>
            <w:pPr>
              <w:spacing w:line="300" w:lineRule="exact"/>
              <w:jc w:val="right"/>
              <w:rPr>
                <w:rFonts w:ascii="方正书宋_GBK" w:eastAsia="方正书宋_GBK" w:cs="Times New Roman"/>
                <w:b/>
                <w:bCs/>
              </w:rPr>
            </w:pPr>
          </w:p>
        </w:tc>
        <w:tc>
          <w:tcPr>
            <w:tcW w:w="1161" w:type="dxa"/>
            <w:vAlign w:val="center"/>
          </w:tcPr>
          <w:p>
            <w:pPr>
              <w:spacing w:line="300" w:lineRule="exact"/>
              <w:jc w:val="right"/>
              <w:rPr>
                <w:rFonts w:ascii="方正书宋_GBK" w:eastAsia="方正书宋_GBK" w:cs="Times New Roman"/>
                <w:b/>
                <w:bCs/>
              </w:rPr>
            </w:pPr>
          </w:p>
        </w:tc>
        <w:tc>
          <w:tcPr>
            <w:tcW w:w="1275" w:type="dxa"/>
            <w:vAlign w:val="center"/>
          </w:tcPr>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1120000.00</w:t>
            </w:r>
          </w:p>
        </w:tc>
        <w:tc>
          <w:tcPr>
            <w:tcW w:w="1275" w:type="dxa"/>
            <w:vAlign w:val="center"/>
          </w:tcPr>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1120000.00</w:t>
            </w:r>
          </w:p>
        </w:tc>
        <w:tc>
          <w:tcPr>
            <w:tcW w:w="1275" w:type="dxa"/>
            <w:vAlign w:val="center"/>
          </w:tcPr>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1120000.00</w:t>
            </w:r>
          </w:p>
        </w:tc>
        <w:tc>
          <w:tcPr>
            <w:tcW w:w="691" w:type="dxa"/>
            <w:vAlign w:val="center"/>
          </w:tcPr>
          <w:p>
            <w:pPr>
              <w:spacing w:line="300" w:lineRule="exact"/>
              <w:jc w:val="right"/>
              <w:rPr>
                <w:rFonts w:ascii="方正书宋_GBK" w:eastAsia="方正书宋_GBK" w:cs="方正书宋_GBK"/>
                <w:b/>
                <w:bCs/>
              </w:rPr>
            </w:pPr>
          </w:p>
        </w:tc>
        <w:tc>
          <w:tcPr>
            <w:tcW w:w="694" w:type="dxa"/>
            <w:vAlign w:val="center"/>
          </w:tcPr>
          <w:p>
            <w:pPr>
              <w:spacing w:line="300" w:lineRule="exact"/>
              <w:jc w:val="right"/>
              <w:rPr>
                <w:rFonts w:ascii="方正书宋_GBK" w:eastAsia="方正书宋_GBK" w:cs="方正书宋_GBK"/>
                <w:b/>
                <w:bCs/>
              </w:rPr>
            </w:pPr>
          </w:p>
        </w:tc>
        <w:tc>
          <w:tcPr>
            <w:tcW w:w="694" w:type="dxa"/>
            <w:vAlign w:val="center"/>
          </w:tcPr>
          <w:p>
            <w:pPr>
              <w:spacing w:line="300" w:lineRule="exact"/>
              <w:jc w:val="right"/>
              <w:rPr>
                <w:rFonts w:ascii="方正书宋_GBK" w:eastAsia="方正书宋_GBK" w:cs="方正书宋_GBK"/>
                <w:b/>
                <w:bCs/>
              </w:rPr>
            </w:pPr>
          </w:p>
        </w:tc>
        <w:tc>
          <w:tcPr>
            <w:tcW w:w="651" w:type="dxa"/>
            <w:vAlign w:val="center"/>
          </w:tcPr>
          <w:p>
            <w:pPr>
              <w:spacing w:line="300" w:lineRule="exact"/>
              <w:jc w:val="right"/>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1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房屋维修</w:t>
            </w:r>
          </w:p>
        </w:tc>
        <w:tc>
          <w:tcPr>
            <w:tcW w:w="1266" w:type="dxa"/>
            <w:vAlign w:val="center"/>
          </w:tcPr>
          <w:p>
            <w:pPr>
              <w:spacing w:line="300" w:lineRule="exact"/>
              <w:jc w:val="right"/>
              <w:rPr>
                <w:rFonts w:hint="default" w:ascii="方正书宋_GBK" w:eastAsia="方正书宋_GBK" w:cs="方正书宋_GBK"/>
                <w:lang w:val="en-US" w:eastAsia="zh-CN"/>
              </w:rPr>
            </w:pPr>
            <w:r>
              <w:rPr>
                <w:rFonts w:hint="eastAsia" w:ascii="方正书宋_GBK" w:eastAsia="方正书宋_GBK" w:cs="方正书宋_GBK"/>
                <w:lang w:val="en-US" w:eastAsia="zh-CN"/>
              </w:rPr>
              <w:t>890000</w:t>
            </w:r>
          </w:p>
        </w:tc>
        <w:tc>
          <w:tcPr>
            <w:tcW w:w="703"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方正书宋_GBK"/>
                <w:lang w:eastAsia="zh-CN"/>
              </w:rPr>
              <w:t>房屋修缮</w:t>
            </w:r>
          </w:p>
        </w:tc>
        <w:tc>
          <w:tcPr>
            <w:tcW w:w="1371"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B0801</w:t>
            </w:r>
          </w:p>
        </w:tc>
        <w:tc>
          <w:tcPr>
            <w:tcW w:w="490" w:type="dxa"/>
            <w:vAlign w:val="center"/>
          </w:tcPr>
          <w:p>
            <w:pPr>
              <w:spacing w:line="300" w:lineRule="exact"/>
              <w:jc w:val="left"/>
              <w:rPr>
                <w:rFonts w:hint="eastAsia" w:ascii="方正书宋_GBK" w:eastAsia="方正书宋_GBK" w:cs="方正书宋_GBK"/>
                <w:lang w:val="en-US" w:eastAsia="zh-CN"/>
              </w:rPr>
            </w:pPr>
            <w:r>
              <w:rPr>
                <w:rFonts w:hint="eastAsia" w:ascii="方正书宋_GBK" w:eastAsia="方正书宋_GBK" w:cs="方正书宋_GBK"/>
                <w:lang w:val="en-US" w:eastAsia="zh-CN"/>
              </w:rPr>
              <w:t>1</w:t>
            </w:r>
          </w:p>
        </w:tc>
        <w:tc>
          <w:tcPr>
            <w:tcW w:w="846" w:type="dxa"/>
            <w:vAlign w:val="center"/>
          </w:tcPr>
          <w:p>
            <w:pPr>
              <w:spacing w:line="300" w:lineRule="exact"/>
              <w:jc w:val="right"/>
              <w:rPr>
                <w:rFonts w:hint="eastAsia" w:ascii="方正书宋_GBK" w:eastAsia="方正书宋_GBK" w:cs="方正书宋_GBK"/>
                <w:lang w:val="en-US" w:eastAsia="zh-CN"/>
              </w:rPr>
            </w:pPr>
            <w:r>
              <w:rPr>
                <w:rFonts w:hint="eastAsia" w:ascii="方正书宋_GBK" w:eastAsia="方正书宋_GBK" w:cs="方正书宋_GBK"/>
                <w:lang w:val="en-US" w:eastAsia="zh-CN"/>
              </w:rPr>
              <w:t>1</w:t>
            </w:r>
          </w:p>
        </w:tc>
        <w:tc>
          <w:tcPr>
            <w:tcW w:w="1161" w:type="dxa"/>
            <w:vAlign w:val="center"/>
          </w:tcPr>
          <w:p>
            <w:pPr>
              <w:spacing w:line="300" w:lineRule="exact"/>
              <w:jc w:val="right"/>
              <w:rPr>
                <w:rFonts w:hint="default" w:ascii="方正书宋_GBK" w:eastAsia="方正书宋_GBK" w:cs="方正书宋_GBK"/>
                <w:lang w:val="en-US" w:eastAsia="zh-CN"/>
              </w:rPr>
            </w:pPr>
            <w:r>
              <w:rPr>
                <w:rFonts w:hint="eastAsia" w:ascii="方正书宋_GBK" w:eastAsia="方正书宋_GBK" w:cs="方正书宋_GBK"/>
                <w:lang w:val="en-US" w:eastAsia="zh-CN"/>
              </w:rPr>
              <w:t>890000</w:t>
            </w:r>
          </w:p>
        </w:tc>
        <w:tc>
          <w:tcPr>
            <w:tcW w:w="1275" w:type="dxa"/>
            <w:vAlign w:val="center"/>
          </w:tcPr>
          <w:p>
            <w:pPr>
              <w:spacing w:line="300" w:lineRule="exact"/>
              <w:jc w:val="right"/>
              <w:rPr>
                <w:rFonts w:hint="default" w:ascii="方正书宋_GBK" w:eastAsia="方正书宋_GBK" w:cs="方正书宋_GBK"/>
                <w:lang w:val="en-US" w:eastAsia="zh-CN"/>
              </w:rPr>
            </w:pPr>
            <w:r>
              <w:rPr>
                <w:rFonts w:hint="eastAsia" w:ascii="方正书宋_GBK" w:eastAsia="方正书宋_GBK" w:cs="方正书宋_GBK"/>
                <w:lang w:val="en-US" w:eastAsia="zh-CN"/>
              </w:rPr>
              <w:t>890000</w:t>
            </w:r>
          </w:p>
        </w:tc>
        <w:tc>
          <w:tcPr>
            <w:tcW w:w="1275" w:type="dxa"/>
            <w:vAlign w:val="center"/>
          </w:tcPr>
          <w:p>
            <w:pPr>
              <w:spacing w:line="300" w:lineRule="exact"/>
              <w:jc w:val="right"/>
              <w:rPr>
                <w:rFonts w:hint="default" w:ascii="方正书宋_GBK" w:eastAsia="方正书宋_GBK" w:cs="方正书宋_GBK"/>
                <w:lang w:val="en-US" w:eastAsia="zh-CN"/>
              </w:rPr>
            </w:pPr>
            <w:r>
              <w:rPr>
                <w:rFonts w:hint="eastAsia" w:ascii="方正书宋_GBK" w:eastAsia="方正书宋_GBK" w:cs="方正书宋_GBK"/>
                <w:lang w:val="en-US" w:eastAsia="zh-CN"/>
              </w:rPr>
              <w:t>890000</w:t>
            </w:r>
          </w:p>
        </w:tc>
        <w:tc>
          <w:tcPr>
            <w:tcW w:w="1275" w:type="dxa"/>
            <w:vAlign w:val="center"/>
          </w:tcPr>
          <w:p>
            <w:pPr>
              <w:spacing w:line="300" w:lineRule="exact"/>
              <w:jc w:val="right"/>
              <w:rPr>
                <w:rFonts w:hint="default" w:ascii="方正书宋_GBK" w:eastAsia="方正书宋_GBK" w:cs="方正书宋_GBK"/>
                <w:lang w:val="en-US" w:eastAsia="zh-CN"/>
              </w:rPr>
            </w:pPr>
            <w:r>
              <w:rPr>
                <w:rFonts w:hint="eastAsia" w:ascii="方正书宋_GBK" w:eastAsia="方正书宋_GBK" w:cs="方正书宋_GBK"/>
                <w:lang w:val="en-US" w:eastAsia="zh-CN"/>
              </w:rPr>
              <w:t>890000</w:t>
            </w:r>
          </w:p>
        </w:tc>
        <w:tc>
          <w:tcPr>
            <w:tcW w:w="691" w:type="dxa"/>
            <w:vAlign w:val="center"/>
          </w:tcPr>
          <w:p>
            <w:pPr>
              <w:spacing w:line="300" w:lineRule="exact"/>
              <w:jc w:val="right"/>
              <w:rPr>
                <w:rFonts w:ascii="方正书宋_GBK" w:eastAsia="方正书宋_GBK" w:cs="方正书宋_GBK"/>
              </w:rPr>
            </w:pPr>
          </w:p>
        </w:tc>
        <w:tc>
          <w:tcPr>
            <w:tcW w:w="694" w:type="dxa"/>
            <w:vAlign w:val="center"/>
          </w:tcPr>
          <w:p>
            <w:pPr>
              <w:spacing w:line="300" w:lineRule="exact"/>
              <w:jc w:val="right"/>
              <w:rPr>
                <w:rFonts w:ascii="方正书宋_GBK" w:eastAsia="方正书宋_GBK" w:cs="方正书宋_GBK"/>
              </w:rPr>
            </w:pPr>
          </w:p>
        </w:tc>
        <w:tc>
          <w:tcPr>
            <w:tcW w:w="694" w:type="dxa"/>
            <w:vAlign w:val="center"/>
          </w:tcPr>
          <w:p>
            <w:pPr>
              <w:spacing w:line="300" w:lineRule="exact"/>
              <w:jc w:val="right"/>
              <w:rPr>
                <w:rFonts w:ascii="方正书宋_GBK" w:eastAsia="方正书宋_GBK" w:cs="方正书宋_GBK"/>
              </w:rPr>
            </w:pPr>
          </w:p>
        </w:tc>
        <w:tc>
          <w:tcPr>
            <w:tcW w:w="65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176"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方正书宋_GBK"/>
                <w:lang w:eastAsia="zh-CN"/>
              </w:rPr>
              <w:t>劳务服务</w:t>
            </w:r>
          </w:p>
        </w:tc>
        <w:tc>
          <w:tcPr>
            <w:tcW w:w="1266" w:type="dxa"/>
            <w:vAlign w:val="center"/>
          </w:tcPr>
          <w:p>
            <w:pPr>
              <w:spacing w:line="300" w:lineRule="exact"/>
              <w:jc w:val="right"/>
              <w:rPr>
                <w:rFonts w:hint="default" w:ascii="方正书宋_GBK" w:eastAsia="方正书宋_GBK" w:cs="方正书宋_GBK"/>
                <w:lang w:val="en-US"/>
              </w:rPr>
            </w:pPr>
            <w:r>
              <w:rPr>
                <w:rFonts w:hint="eastAsia" w:ascii="方正书宋_GBK" w:eastAsia="方正书宋_GBK" w:cs="方正书宋_GBK"/>
                <w:lang w:val="en-US" w:eastAsia="zh-CN"/>
              </w:rPr>
              <w:t>230000</w:t>
            </w:r>
          </w:p>
        </w:tc>
        <w:tc>
          <w:tcPr>
            <w:tcW w:w="703"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一般会议服务</w:t>
            </w:r>
          </w:p>
        </w:tc>
        <w:tc>
          <w:tcPr>
            <w:tcW w:w="1371"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C060102</w:t>
            </w:r>
          </w:p>
        </w:tc>
        <w:tc>
          <w:tcPr>
            <w:tcW w:w="490" w:type="dxa"/>
            <w:vAlign w:val="center"/>
          </w:tcPr>
          <w:p>
            <w:pPr>
              <w:spacing w:line="300" w:lineRule="exact"/>
              <w:jc w:val="left"/>
              <w:rPr>
                <w:rFonts w:hint="eastAsia" w:ascii="方正书宋_GBK" w:eastAsia="方正书宋_GBK" w:cs="Times New Roman"/>
                <w:lang w:val="en-US" w:eastAsia="zh-CN"/>
              </w:rPr>
            </w:pPr>
            <w:r>
              <w:rPr>
                <w:rFonts w:hint="eastAsia" w:ascii="方正书宋_GBK" w:eastAsia="方正书宋_GBK" w:cs="Times New Roman"/>
                <w:lang w:val="en-US" w:eastAsia="zh-CN"/>
              </w:rPr>
              <w:t>1</w:t>
            </w:r>
          </w:p>
        </w:tc>
        <w:tc>
          <w:tcPr>
            <w:tcW w:w="846" w:type="dxa"/>
            <w:vAlign w:val="center"/>
          </w:tcPr>
          <w:p>
            <w:pPr>
              <w:spacing w:line="300" w:lineRule="exact"/>
              <w:jc w:val="right"/>
              <w:rPr>
                <w:rFonts w:hint="eastAsia" w:ascii="方正书宋_GBK" w:eastAsia="方正书宋_GBK" w:cs="方正书宋_GBK"/>
                <w:lang w:eastAsia="zh-CN"/>
              </w:rPr>
            </w:pPr>
            <w:r>
              <w:rPr>
                <w:rFonts w:hint="eastAsia" w:ascii="方正书宋_GBK" w:eastAsia="方正书宋_GBK" w:cs="方正书宋_GBK"/>
                <w:lang w:val="en-US" w:eastAsia="zh-CN"/>
              </w:rPr>
              <w:t>1</w:t>
            </w:r>
          </w:p>
        </w:tc>
        <w:tc>
          <w:tcPr>
            <w:tcW w:w="1161" w:type="dxa"/>
            <w:vAlign w:val="center"/>
          </w:tcPr>
          <w:p>
            <w:pPr>
              <w:spacing w:line="300" w:lineRule="exact"/>
              <w:jc w:val="right"/>
              <w:rPr>
                <w:rFonts w:hint="default" w:ascii="方正书宋_GBK" w:eastAsia="方正书宋_GBK" w:cs="方正书宋_GBK"/>
                <w:lang w:val="en-US" w:eastAsia="zh-CN"/>
              </w:rPr>
            </w:pPr>
            <w:r>
              <w:rPr>
                <w:rFonts w:hint="eastAsia" w:ascii="方正书宋_GBK" w:eastAsia="方正书宋_GBK" w:cs="方正书宋_GBK"/>
                <w:lang w:val="en-US" w:eastAsia="zh-CN"/>
              </w:rPr>
              <w:t>230000</w:t>
            </w:r>
          </w:p>
        </w:tc>
        <w:tc>
          <w:tcPr>
            <w:tcW w:w="1275" w:type="dxa"/>
            <w:vAlign w:val="center"/>
          </w:tcPr>
          <w:p>
            <w:pPr>
              <w:spacing w:line="300" w:lineRule="exact"/>
              <w:jc w:val="right"/>
              <w:rPr>
                <w:rFonts w:hint="default" w:ascii="方正书宋_GBK" w:eastAsia="方正书宋_GBK" w:cs="方正书宋_GBK"/>
                <w:lang w:val="en-US" w:eastAsia="zh-CN"/>
              </w:rPr>
            </w:pPr>
            <w:r>
              <w:rPr>
                <w:rFonts w:hint="eastAsia" w:ascii="方正书宋_GBK" w:eastAsia="方正书宋_GBK" w:cs="方正书宋_GBK"/>
                <w:lang w:val="en-US" w:eastAsia="zh-CN"/>
              </w:rPr>
              <w:t>230000</w:t>
            </w:r>
          </w:p>
        </w:tc>
        <w:tc>
          <w:tcPr>
            <w:tcW w:w="1275" w:type="dxa"/>
            <w:vAlign w:val="center"/>
          </w:tcPr>
          <w:p>
            <w:pPr>
              <w:spacing w:line="300" w:lineRule="exact"/>
              <w:jc w:val="right"/>
              <w:rPr>
                <w:rFonts w:hint="default" w:ascii="方正书宋_GBK" w:eastAsia="方正书宋_GBK" w:cs="方正书宋_GBK"/>
                <w:lang w:val="en-US" w:eastAsia="zh-CN"/>
              </w:rPr>
            </w:pPr>
            <w:r>
              <w:rPr>
                <w:rFonts w:hint="eastAsia" w:ascii="方正书宋_GBK" w:eastAsia="方正书宋_GBK" w:cs="方正书宋_GBK"/>
                <w:lang w:val="en-US" w:eastAsia="zh-CN"/>
              </w:rPr>
              <w:t>230000</w:t>
            </w:r>
          </w:p>
        </w:tc>
        <w:tc>
          <w:tcPr>
            <w:tcW w:w="1275" w:type="dxa"/>
            <w:vAlign w:val="center"/>
          </w:tcPr>
          <w:p>
            <w:pPr>
              <w:spacing w:line="300" w:lineRule="exact"/>
              <w:jc w:val="right"/>
              <w:rPr>
                <w:rFonts w:hint="default" w:ascii="方正书宋_GBK" w:eastAsia="方正书宋_GBK" w:cs="方正书宋_GBK"/>
                <w:lang w:val="en-US" w:eastAsia="zh-CN"/>
              </w:rPr>
            </w:pPr>
            <w:r>
              <w:rPr>
                <w:rFonts w:hint="eastAsia" w:ascii="方正书宋_GBK" w:eastAsia="方正书宋_GBK" w:cs="方正书宋_GBK"/>
                <w:lang w:val="en-US" w:eastAsia="zh-CN"/>
              </w:rPr>
              <w:t>230000</w:t>
            </w:r>
          </w:p>
        </w:tc>
        <w:tc>
          <w:tcPr>
            <w:tcW w:w="691" w:type="dxa"/>
            <w:vAlign w:val="center"/>
          </w:tcPr>
          <w:p>
            <w:pPr>
              <w:spacing w:line="300" w:lineRule="exact"/>
              <w:jc w:val="right"/>
              <w:rPr>
                <w:rFonts w:ascii="方正书宋_GBK" w:eastAsia="方正书宋_GBK" w:cs="方正书宋_GBK"/>
              </w:rPr>
            </w:pPr>
          </w:p>
        </w:tc>
        <w:tc>
          <w:tcPr>
            <w:tcW w:w="694" w:type="dxa"/>
            <w:vAlign w:val="center"/>
          </w:tcPr>
          <w:p>
            <w:pPr>
              <w:spacing w:line="300" w:lineRule="exact"/>
              <w:jc w:val="right"/>
              <w:rPr>
                <w:rFonts w:ascii="方正书宋_GBK" w:eastAsia="方正书宋_GBK" w:cs="方正书宋_GBK"/>
              </w:rPr>
            </w:pPr>
          </w:p>
        </w:tc>
        <w:tc>
          <w:tcPr>
            <w:tcW w:w="694" w:type="dxa"/>
            <w:vAlign w:val="center"/>
          </w:tcPr>
          <w:p>
            <w:pPr>
              <w:spacing w:line="300" w:lineRule="exact"/>
              <w:jc w:val="right"/>
              <w:rPr>
                <w:rFonts w:ascii="方正书宋_GBK" w:eastAsia="方正书宋_GBK" w:cs="方正书宋_GBK"/>
              </w:rPr>
            </w:pPr>
          </w:p>
        </w:tc>
        <w:tc>
          <w:tcPr>
            <w:tcW w:w="651" w:type="dxa"/>
            <w:vAlign w:val="center"/>
          </w:tcPr>
          <w:p>
            <w:pPr>
              <w:spacing w:line="300" w:lineRule="exact"/>
              <w:jc w:val="right"/>
              <w:rPr>
                <w:rFonts w:ascii="方正书宋_GBK" w:eastAsia="方正书宋_GBK" w:cs="方正书宋_GBK"/>
              </w:rPr>
            </w:pPr>
          </w:p>
        </w:tc>
      </w:tr>
    </w:tbl>
    <w:p>
      <w:pPr>
        <w:spacing w:line="300" w:lineRule="exact"/>
        <w:jc w:val="left"/>
        <w:outlineLvl w:val="0"/>
        <w:rPr>
          <w:rFonts w:cs="Times New Roman"/>
        </w:rPr>
        <w:sectPr>
          <w:pgSz w:w="16839" w:h="11907" w:orient="landscape"/>
          <w:pgMar w:top="1361" w:right="1020" w:bottom="1361" w:left="1020"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黑体"/>
          <w:color w:val="auto"/>
          <w:sz w:val="32"/>
          <w:szCs w:val="32"/>
        </w:rPr>
        <w:t>七、国有资产信息</w:t>
      </w:r>
    </w:p>
    <w:p>
      <w:pPr>
        <w:ind w:firstLine="640"/>
        <w:rPr>
          <w:rFonts w:ascii="Times New Roman" w:hAnsi="Times New Roman" w:eastAsia="仿宋" w:cs="Times New Roman"/>
          <w:color w:val="auto"/>
          <w:sz w:val="32"/>
          <w:szCs w:val="32"/>
        </w:rPr>
      </w:pPr>
      <w:r>
        <w:rPr>
          <w:rFonts w:hint="eastAsia" w:ascii="Times New Roman" w:hAnsi="Times New Roman" w:eastAsia="仿宋" w:cs="仿宋"/>
          <w:color w:val="auto"/>
          <w:sz w:val="32"/>
          <w:szCs w:val="32"/>
        </w:rPr>
        <w:t>隆尧县人民政府办公室</w:t>
      </w:r>
      <w:r>
        <w:rPr>
          <w:rFonts w:ascii="Times New Roman" w:hAnsi="Times New Roman" w:eastAsia="仿宋" w:cs="Times New Roman"/>
          <w:color w:val="auto"/>
          <w:sz w:val="32"/>
          <w:szCs w:val="32"/>
        </w:rPr>
        <w:t>201</w:t>
      </w:r>
      <w:r>
        <w:rPr>
          <w:rFonts w:hint="eastAsia" w:ascii="Times New Roman" w:hAnsi="Times New Roman" w:eastAsia="仿宋" w:cs="Times New Roman"/>
          <w:color w:val="auto"/>
          <w:sz w:val="32"/>
          <w:szCs w:val="32"/>
          <w:lang w:val="en-US" w:eastAsia="zh-CN"/>
        </w:rPr>
        <w:t>9</w:t>
      </w:r>
      <w:r>
        <w:rPr>
          <w:rFonts w:hint="eastAsia" w:ascii="Times New Roman" w:hAnsi="Times New Roman" w:eastAsia="仿宋" w:cs="仿宋"/>
          <w:color w:val="auto"/>
          <w:sz w:val="32"/>
          <w:szCs w:val="32"/>
        </w:rPr>
        <w:t>年末固定资产金额为</w:t>
      </w:r>
      <w:r>
        <w:rPr>
          <w:rFonts w:hint="eastAsia" w:ascii="Times New Roman" w:hAnsi="Times New Roman" w:eastAsia="仿宋" w:cs="仿宋"/>
          <w:color w:val="auto"/>
          <w:sz w:val="32"/>
          <w:szCs w:val="32"/>
          <w:lang w:val="en-US" w:eastAsia="zh-CN"/>
        </w:rPr>
        <w:t>375.73</w:t>
      </w:r>
      <w:r>
        <w:rPr>
          <w:rFonts w:hint="eastAsia" w:ascii="Times New Roman" w:hAnsi="Times New Roman" w:eastAsia="仿宋" w:cs="仿宋"/>
          <w:color w:val="auto"/>
          <w:sz w:val="32"/>
          <w:szCs w:val="32"/>
        </w:rPr>
        <w:t>万元（详见下表），本年度拟购置固定资产总额为</w:t>
      </w:r>
      <w:r>
        <w:rPr>
          <w:rFonts w:hint="eastAsia" w:ascii="Times New Roman" w:hAnsi="Times New Roman" w:eastAsia="仿宋" w:cs="仿宋"/>
          <w:color w:val="auto"/>
          <w:sz w:val="32"/>
          <w:szCs w:val="32"/>
          <w:lang w:val="en-US" w:eastAsia="zh-CN"/>
        </w:rPr>
        <w:t>26</w:t>
      </w:r>
      <w:r>
        <w:rPr>
          <w:rFonts w:hint="eastAsia" w:ascii="Times New Roman" w:hAnsi="Times New Roman" w:eastAsia="仿宋" w:cs="仿宋"/>
          <w:color w:val="auto"/>
          <w:sz w:val="32"/>
          <w:szCs w:val="32"/>
        </w:rPr>
        <w:t>万元，主要为计算机、打印机等。</w:t>
      </w:r>
    </w:p>
    <w:tbl>
      <w:tblPr>
        <w:tblStyle w:val="9"/>
        <w:tblW w:w="13482" w:type="dxa"/>
        <w:tblInd w:w="-106"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color w:val="auto"/>
                <w:kern w:val="0"/>
                <w:sz w:val="32"/>
                <w:szCs w:val="32"/>
              </w:rPr>
            </w:pPr>
            <w:r>
              <w:rPr>
                <w:rFonts w:hint="eastAsia" w:ascii="宋体" w:hAnsi="宋体" w:cs="宋体"/>
                <w:b/>
                <w:bCs/>
                <w:color w:val="auto"/>
                <w:kern w:val="0"/>
                <w:sz w:val="32"/>
                <w:szCs w:val="32"/>
              </w:rPr>
              <w:t>河北省县直部门固定资产占用情况表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color w:val="auto"/>
                <w:kern w:val="0"/>
                <w:sz w:val="22"/>
                <w:szCs w:val="22"/>
              </w:rPr>
            </w:pPr>
            <w:r>
              <w:rPr>
                <w:rFonts w:hint="eastAsia" w:ascii="Times New Roman" w:hAnsi="Times New Roman" w:eastAsia="仿宋" w:cs="仿宋"/>
                <w:color w:val="auto"/>
                <w:kern w:val="0"/>
                <w:sz w:val="22"/>
                <w:szCs w:val="22"/>
              </w:rPr>
              <w:t>编制部门：隆尧县人民政府办公室</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color w:val="auto"/>
                <w:kern w:val="0"/>
                <w:sz w:val="22"/>
                <w:szCs w:val="22"/>
              </w:rPr>
            </w:pPr>
            <w:r>
              <w:rPr>
                <w:rFonts w:hint="eastAsia" w:ascii="Times New Roman" w:hAnsi="Times New Roman" w:eastAsia="仿宋" w:cs="仿宋"/>
                <w:color w:val="auto"/>
                <w:kern w:val="0"/>
                <w:sz w:val="22"/>
                <w:szCs w:val="22"/>
              </w:rPr>
              <w:t>截止时间：</w:t>
            </w:r>
            <w:r>
              <w:rPr>
                <w:rFonts w:ascii="Times New Roman" w:hAnsi="Times New Roman" w:eastAsia="仿宋" w:cs="Times New Roman"/>
                <w:color w:val="auto"/>
                <w:kern w:val="0"/>
                <w:sz w:val="22"/>
                <w:szCs w:val="22"/>
              </w:rPr>
              <w:t>201</w:t>
            </w:r>
            <w:r>
              <w:rPr>
                <w:rFonts w:hint="eastAsia" w:ascii="Times New Roman" w:hAnsi="Times New Roman" w:eastAsia="仿宋" w:cs="Times New Roman"/>
                <w:color w:val="auto"/>
                <w:kern w:val="0"/>
                <w:sz w:val="22"/>
                <w:szCs w:val="22"/>
                <w:lang w:val="en-US" w:eastAsia="zh-CN"/>
              </w:rPr>
              <w:t>9</w:t>
            </w:r>
            <w:r>
              <w:rPr>
                <w:rFonts w:hint="eastAsia" w:ascii="Times New Roman" w:hAnsi="Times New Roman" w:eastAsia="仿宋" w:cs="仿宋"/>
                <w:color w:val="auto"/>
                <w:kern w:val="0"/>
                <w:sz w:val="22"/>
                <w:szCs w:val="22"/>
              </w:rPr>
              <w:t>年</w:t>
            </w:r>
            <w:r>
              <w:rPr>
                <w:rFonts w:ascii="Times New Roman" w:hAnsi="Times New Roman" w:eastAsia="仿宋" w:cs="Times New Roman"/>
                <w:color w:val="auto"/>
                <w:kern w:val="0"/>
                <w:sz w:val="22"/>
                <w:szCs w:val="22"/>
              </w:rPr>
              <w:t>12</w:t>
            </w:r>
            <w:r>
              <w:rPr>
                <w:rFonts w:hint="eastAsia" w:ascii="Times New Roman" w:hAnsi="Times New Roman" w:eastAsia="仿宋" w:cs="仿宋"/>
                <w:color w:val="auto"/>
                <w:kern w:val="0"/>
                <w:sz w:val="22"/>
                <w:szCs w:val="22"/>
              </w:rPr>
              <w:t>月</w:t>
            </w:r>
            <w:r>
              <w:rPr>
                <w:rFonts w:ascii="Times New Roman" w:hAnsi="Times New Roman" w:eastAsia="仿宋" w:cs="Times New Roman"/>
                <w:color w:val="auto"/>
                <w:kern w:val="0"/>
                <w:sz w:val="22"/>
                <w:szCs w:val="22"/>
              </w:rPr>
              <w:t>31</w:t>
            </w:r>
            <w:r>
              <w:rPr>
                <w:rFonts w:hint="eastAsia" w:ascii="Times New Roman" w:hAnsi="Times New Roman" w:eastAsia="仿宋" w:cs="仿宋"/>
                <w:color w:val="auto"/>
                <w:kern w:val="0"/>
                <w:sz w:val="22"/>
                <w:szCs w:val="22"/>
              </w:rPr>
              <w:t>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color w:val="auto"/>
                <w:kern w:val="0"/>
                <w:sz w:val="22"/>
                <w:szCs w:val="22"/>
              </w:rPr>
            </w:pPr>
            <w:r>
              <w:rPr>
                <w:rFonts w:hint="eastAsia" w:ascii="宋体" w:hAnsi="宋体" w:cs="宋体"/>
                <w:b/>
                <w:bCs/>
                <w:color w:val="auto"/>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color w:val="auto"/>
                <w:kern w:val="0"/>
                <w:sz w:val="22"/>
                <w:szCs w:val="22"/>
              </w:rPr>
            </w:pPr>
            <w:r>
              <w:rPr>
                <w:rFonts w:hint="eastAsia" w:ascii="宋体" w:hAnsi="宋体" w:cs="宋体"/>
                <w:b/>
                <w:bCs/>
                <w:color w:val="auto"/>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color w:val="auto"/>
                <w:kern w:val="0"/>
                <w:sz w:val="22"/>
                <w:szCs w:val="22"/>
              </w:rPr>
            </w:pPr>
            <w:r>
              <w:rPr>
                <w:rFonts w:hint="eastAsia" w:ascii="宋体" w:hAnsi="宋体" w:cs="宋体"/>
                <w:b/>
                <w:bCs/>
                <w:color w:val="auto"/>
                <w:kern w:val="0"/>
                <w:sz w:val="22"/>
                <w:szCs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szCs w:val="22"/>
              </w:rPr>
            </w:pPr>
            <w:r>
              <w:rPr>
                <w:rFonts w:hint="eastAsia" w:ascii="Times New Roman" w:hAnsi="Times New Roman" w:eastAsia="仿宋" w:cs="仿宋"/>
                <w:color w:val="auto"/>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szCs w:val="22"/>
                <w:lang w:val="en-US" w:eastAsia="zh-CN"/>
              </w:rPr>
            </w:pPr>
            <w:r>
              <w:rPr>
                <w:rFonts w:hint="eastAsia" w:ascii="Times New Roman" w:hAnsi="Times New Roman" w:eastAsia="仿宋" w:cs="Times New Roman"/>
                <w:color w:val="auto"/>
                <w:kern w:val="0"/>
                <w:sz w:val="22"/>
                <w:szCs w:val="22"/>
                <w:lang w:val="en-US" w:eastAsia="zh-CN"/>
              </w:rPr>
              <w:t>375.73</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1</w:t>
            </w:r>
            <w:r>
              <w:rPr>
                <w:rFonts w:hint="eastAsia" w:ascii="Times New Roman" w:hAnsi="Times New Roman" w:eastAsia="仿宋" w:cs="仿宋"/>
                <w:color w:val="auto"/>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55.97</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szCs w:val="22"/>
                <w:lang w:val="en-US" w:eastAsia="zh-CN"/>
              </w:rPr>
            </w:pPr>
            <w:r>
              <w:rPr>
                <w:rFonts w:hint="eastAsia" w:ascii="Times New Roman" w:hAnsi="Times New Roman" w:eastAsia="仿宋" w:cs="Times New Roman"/>
                <w:color w:val="auto"/>
                <w:kern w:val="0"/>
                <w:sz w:val="22"/>
                <w:szCs w:val="22"/>
                <w:lang w:val="en-US" w:eastAsia="zh-CN"/>
              </w:rPr>
              <w:t>198.26</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szCs w:val="22"/>
              </w:rPr>
            </w:pPr>
            <w:r>
              <w:rPr>
                <w:rFonts w:hint="eastAsia" w:ascii="Times New Roman" w:hAnsi="Times New Roman" w:eastAsia="仿宋" w:cs="仿宋"/>
                <w:color w:val="auto"/>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55.97</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szCs w:val="22"/>
                <w:lang w:val="en-US" w:eastAsia="zh-CN"/>
              </w:rPr>
            </w:pPr>
            <w:r>
              <w:rPr>
                <w:rFonts w:hint="eastAsia" w:ascii="Times New Roman" w:hAnsi="Times New Roman" w:eastAsia="仿宋" w:cs="Times New Roman"/>
                <w:color w:val="auto"/>
                <w:kern w:val="0"/>
                <w:sz w:val="22"/>
                <w:szCs w:val="22"/>
                <w:lang w:val="en-US" w:eastAsia="zh-CN"/>
              </w:rPr>
              <w:t>198.26</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2</w:t>
            </w:r>
            <w:r>
              <w:rPr>
                <w:rFonts w:hint="eastAsia" w:ascii="Times New Roman" w:hAnsi="Times New Roman" w:eastAsia="仿宋" w:cs="仿宋"/>
                <w:color w:val="auto"/>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szCs w:val="22"/>
                <w:lang w:eastAsia="zh-CN"/>
              </w:rPr>
            </w:pPr>
            <w:r>
              <w:rPr>
                <w:rFonts w:hint="eastAsia" w:ascii="Times New Roman" w:hAnsi="Times New Roman" w:eastAsia="仿宋" w:cs="Times New Roman"/>
                <w:color w:val="auto"/>
                <w:kern w:val="0"/>
                <w:sz w:val="22"/>
                <w:szCs w:val="22"/>
                <w:lang w:val="en-US" w:eastAsia="zh-CN"/>
              </w:rPr>
              <w:t>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szCs w:val="22"/>
                <w:lang w:val="en-US" w:eastAsia="zh-CN"/>
              </w:rPr>
            </w:pPr>
            <w:r>
              <w:rPr>
                <w:rFonts w:hint="eastAsia" w:ascii="Times New Roman" w:hAnsi="Times New Roman" w:eastAsia="仿宋" w:cs="Times New Roman"/>
                <w:color w:val="auto"/>
                <w:kern w:val="0"/>
                <w:sz w:val="22"/>
                <w:szCs w:val="22"/>
                <w:lang w:val="en-US" w:eastAsia="zh-CN"/>
              </w:rPr>
              <w:t>36.28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3</w:t>
            </w:r>
            <w:r>
              <w:rPr>
                <w:rFonts w:hint="eastAsia" w:ascii="Times New Roman" w:hAnsi="Times New Roman" w:eastAsia="仿宋" w:cs="仿宋"/>
                <w:color w:val="auto"/>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4</w:t>
            </w:r>
            <w:r>
              <w:rPr>
                <w:rFonts w:hint="eastAsia" w:ascii="Times New Roman" w:hAnsi="Times New Roman" w:eastAsia="仿宋" w:cs="仿宋"/>
                <w:color w:val="auto"/>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szCs w:val="22"/>
              </w:rPr>
            </w:pPr>
            <w:r>
              <w:rPr>
                <w:rFonts w:ascii="Times New Roman" w:hAnsi="Times New Roman" w:eastAsia="仿宋" w:cs="Times New Roman"/>
                <w:color w:val="auto"/>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szCs w:val="22"/>
                <w:lang w:val="en-US" w:eastAsia="zh-CN"/>
              </w:rPr>
            </w:pPr>
            <w:r>
              <w:rPr>
                <w:rFonts w:hint="eastAsia" w:ascii="Times New Roman" w:hAnsi="Times New Roman" w:eastAsia="仿宋" w:cs="Times New Roman"/>
                <w:color w:val="auto"/>
                <w:kern w:val="0"/>
                <w:sz w:val="22"/>
                <w:szCs w:val="22"/>
                <w:lang w:val="en-US" w:eastAsia="zh-CN"/>
              </w:rPr>
              <w:t>141.19</w:t>
            </w:r>
          </w:p>
        </w:tc>
      </w:tr>
    </w:tbl>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黑体"/>
          <w:color w:val="auto"/>
          <w:sz w:val="32"/>
          <w:szCs w:val="32"/>
        </w:rPr>
        <w:t>八、名词解释</w:t>
      </w:r>
    </w:p>
    <w:p>
      <w:pPr>
        <w:ind w:firstLine="640" w:firstLineChars="200"/>
        <w:rPr>
          <w:rFonts w:ascii="Times New Roman" w:hAnsi="Times New Roman" w:eastAsia="仿宋" w:cs="Times New Roman"/>
          <w:color w:val="auto"/>
          <w:sz w:val="32"/>
          <w:szCs w:val="32"/>
        </w:rPr>
      </w:pPr>
      <w:r>
        <w:rPr>
          <w:rFonts w:ascii="Times New Roman" w:hAnsi="Times New Roman" w:eastAsia="仿宋" w:cs="Times New Roman"/>
          <w:color w:val="auto"/>
          <w:sz w:val="32"/>
          <w:szCs w:val="32"/>
        </w:rPr>
        <w:t>1</w:t>
      </w:r>
      <w:r>
        <w:rPr>
          <w:rFonts w:hint="eastAsia" w:ascii="Times New Roman" w:hAnsi="Times New Roman" w:eastAsia="仿宋" w:cs="仿宋"/>
          <w:color w:val="auto"/>
          <w:sz w:val="32"/>
          <w:szCs w:val="32"/>
        </w:rPr>
        <w:t>、一般公共预算拨款收入：指省级财政当年拨付的资金。</w:t>
      </w:r>
    </w:p>
    <w:p>
      <w:pPr>
        <w:ind w:firstLine="640" w:firstLineChars="200"/>
        <w:rPr>
          <w:rFonts w:ascii="Times New Roman" w:hAnsi="Times New Roman" w:eastAsia="仿宋" w:cs="Times New Roman"/>
          <w:color w:val="auto"/>
          <w:sz w:val="32"/>
          <w:szCs w:val="32"/>
        </w:rPr>
      </w:pPr>
      <w:r>
        <w:rPr>
          <w:rFonts w:ascii="Times New Roman" w:hAnsi="Times New Roman" w:eastAsia="仿宋" w:cs="Times New Roman"/>
          <w:color w:val="auto"/>
          <w:sz w:val="32"/>
          <w:szCs w:val="32"/>
        </w:rPr>
        <w:t>2</w:t>
      </w:r>
      <w:r>
        <w:rPr>
          <w:rFonts w:hint="eastAsia" w:ascii="Times New Roman" w:hAnsi="Times New Roman" w:eastAsia="仿宋" w:cs="仿宋"/>
          <w:color w:val="auto"/>
          <w:sz w:val="32"/>
          <w:szCs w:val="32"/>
        </w:rPr>
        <w:t>、事业收入：指事业单位开展专业业务活动及辅助活动所取得的收入。</w:t>
      </w:r>
    </w:p>
    <w:p>
      <w:pPr>
        <w:ind w:firstLine="640" w:firstLineChars="200"/>
        <w:rPr>
          <w:rFonts w:ascii="Times New Roman" w:hAnsi="Times New Roman" w:eastAsia="仿宋" w:cs="Times New Roman"/>
          <w:color w:val="auto"/>
          <w:sz w:val="32"/>
          <w:szCs w:val="32"/>
        </w:rPr>
      </w:pPr>
      <w:r>
        <w:rPr>
          <w:rFonts w:ascii="Times New Roman" w:hAnsi="Times New Roman" w:eastAsia="仿宋" w:cs="Times New Roman"/>
          <w:color w:val="auto"/>
          <w:sz w:val="32"/>
          <w:szCs w:val="32"/>
        </w:rPr>
        <w:t>3</w:t>
      </w:r>
      <w:r>
        <w:rPr>
          <w:rFonts w:hint="eastAsia" w:ascii="Times New Roman" w:hAnsi="Times New Roman" w:eastAsia="仿宋" w:cs="仿宋"/>
          <w:color w:val="auto"/>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color w:val="auto"/>
          <w:sz w:val="32"/>
          <w:szCs w:val="32"/>
        </w:rPr>
      </w:pPr>
      <w:r>
        <w:rPr>
          <w:rFonts w:ascii="Times New Roman" w:hAnsi="Times New Roman" w:eastAsia="仿宋" w:cs="Times New Roman"/>
          <w:color w:val="auto"/>
          <w:sz w:val="32"/>
          <w:szCs w:val="32"/>
        </w:rPr>
        <w:t>4</w:t>
      </w:r>
      <w:r>
        <w:rPr>
          <w:rFonts w:hint="eastAsia" w:ascii="Times New Roman" w:hAnsi="Times New Roman" w:eastAsia="仿宋" w:cs="仿宋"/>
          <w:color w:val="auto"/>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color w:val="auto"/>
          <w:sz w:val="32"/>
          <w:szCs w:val="32"/>
        </w:rPr>
      </w:pPr>
      <w:r>
        <w:rPr>
          <w:rFonts w:ascii="Times New Roman" w:hAnsi="Times New Roman" w:eastAsia="仿宋" w:cs="Times New Roman"/>
          <w:color w:val="auto"/>
          <w:sz w:val="32"/>
          <w:szCs w:val="32"/>
        </w:rPr>
        <w:t>5</w:t>
      </w:r>
      <w:r>
        <w:rPr>
          <w:rFonts w:hint="eastAsia" w:ascii="Times New Roman" w:hAnsi="Times New Roman" w:eastAsia="仿宋" w:cs="仿宋"/>
          <w:color w:val="auto"/>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color w:val="auto"/>
          <w:sz w:val="32"/>
          <w:szCs w:val="32"/>
        </w:rPr>
      </w:pPr>
      <w:r>
        <w:rPr>
          <w:rFonts w:ascii="Times New Roman" w:hAnsi="Times New Roman" w:eastAsia="仿宋" w:cs="Times New Roman"/>
          <w:color w:val="auto"/>
          <w:sz w:val="32"/>
          <w:szCs w:val="32"/>
        </w:rPr>
        <w:t>6</w:t>
      </w:r>
      <w:r>
        <w:rPr>
          <w:rFonts w:hint="eastAsia" w:ascii="Times New Roman" w:hAnsi="Times New Roman" w:eastAsia="仿宋" w:cs="仿宋"/>
          <w:color w:val="auto"/>
          <w:sz w:val="32"/>
          <w:szCs w:val="32"/>
        </w:rPr>
        <w:t>、上缴上级支出：指下级单位上缴上级的支出。</w:t>
      </w:r>
    </w:p>
    <w:p>
      <w:pPr>
        <w:ind w:firstLine="640" w:firstLineChars="200"/>
        <w:rPr>
          <w:rFonts w:ascii="Times New Roman" w:hAnsi="Times New Roman" w:eastAsia="仿宋" w:cs="Times New Roman"/>
          <w:color w:val="auto"/>
          <w:sz w:val="32"/>
          <w:szCs w:val="32"/>
        </w:rPr>
      </w:pPr>
      <w:r>
        <w:rPr>
          <w:rFonts w:ascii="Times New Roman" w:hAnsi="Times New Roman" w:eastAsia="仿宋" w:cs="Times New Roman"/>
          <w:color w:val="auto"/>
          <w:sz w:val="32"/>
          <w:szCs w:val="32"/>
        </w:rPr>
        <w:t>7</w:t>
      </w:r>
      <w:r>
        <w:rPr>
          <w:rFonts w:hint="eastAsia" w:ascii="Times New Roman" w:hAnsi="Times New Roman" w:eastAsia="仿宋" w:cs="仿宋"/>
          <w:color w:val="auto"/>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1"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altName w:val="方正小标宋简体"/>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宋体-方正超大字符集">
    <w:panose1 w:val="03000509000000000000"/>
    <w:charset w:val="86"/>
    <w:family w:val="script"/>
    <w:pitch w:val="default"/>
    <w:sig w:usb0="00000001" w:usb1="080E0000" w:usb2="00000000" w:usb3="00000000" w:csb0="00040000" w:csb1="00000000"/>
  </w:font>
  <w:font w:name="SimSun-ExtB">
    <w:panose1 w:val="02010609060101010101"/>
    <w:charset w:val="86"/>
    <w:family w:val="auto"/>
    <w:pitch w:val="default"/>
    <w:sig w:usb0="00000001" w:usb1="02000000" w:usb2="00000000"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5"/>
        <w:rPr>
          <w:rFonts w:ascii="方正楷体_GBK" w:eastAsia="方正楷体_GBK" w:cs="Times New Roman"/>
          <w:sz w:val="24"/>
          <w:szCs w:val="24"/>
        </w:rPr>
      </w:pPr>
      <w:r>
        <w:rPr>
          <w:rStyle w:val="8"/>
          <w:rFonts w:cs="Times New Roman"/>
        </w:rPr>
        <w:sym w:font="Symbol" w:char="F020"/>
      </w:r>
      <w:r>
        <w:rPr>
          <w:rFonts w:hint="eastAsia" w:ascii="方正楷体_GBK" w:eastAsia="方正楷体_GBK" w:cs="方正楷体_GBK"/>
          <w:sz w:val="24"/>
          <w:szCs w:val="24"/>
        </w:rPr>
        <w:t>备注：表中的年度预算数为项目支出，部门工作活动虽未安排项目支出，但由基本支出保障，由于基本支出无法拆分到相应的工作活动，</w:t>
      </w:r>
    </w:p>
    <w:p>
      <w:pPr>
        <w:pStyle w:val="5"/>
        <w:rPr>
          <w:rFonts w:cs="Times New Roman"/>
        </w:rPr>
      </w:pPr>
      <w:r>
        <w:rPr>
          <w:rFonts w:hint="eastAsia" w:ascii="方正楷体_GBK" w:eastAsia="方正楷体_GBK" w:cs="方正楷体_GBK"/>
          <w:sz w:val="24"/>
          <w:szCs w:val="24"/>
        </w:rPr>
        <w:t>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7CC4"/>
    <w:rsid w:val="0000235E"/>
    <w:rsid w:val="000500EB"/>
    <w:rsid w:val="000A3E68"/>
    <w:rsid w:val="00116488"/>
    <w:rsid w:val="00155006"/>
    <w:rsid w:val="001B022C"/>
    <w:rsid w:val="00291BC6"/>
    <w:rsid w:val="002B1C9C"/>
    <w:rsid w:val="00304E90"/>
    <w:rsid w:val="003B1801"/>
    <w:rsid w:val="003F4292"/>
    <w:rsid w:val="003F5E9F"/>
    <w:rsid w:val="00444F6A"/>
    <w:rsid w:val="0046545D"/>
    <w:rsid w:val="004924AB"/>
    <w:rsid w:val="004D4AB6"/>
    <w:rsid w:val="004E1CF4"/>
    <w:rsid w:val="00523C7E"/>
    <w:rsid w:val="00556EF7"/>
    <w:rsid w:val="00565C94"/>
    <w:rsid w:val="00595DA3"/>
    <w:rsid w:val="006526A2"/>
    <w:rsid w:val="007941F0"/>
    <w:rsid w:val="008007F4"/>
    <w:rsid w:val="00877E22"/>
    <w:rsid w:val="00910F54"/>
    <w:rsid w:val="00A5050A"/>
    <w:rsid w:val="00AC0EF1"/>
    <w:rsid w:val="00AE54BB"/>
    <w:rsid w:val="00B23C13"/>
    <w:rsid w:val="00B7265D"/>
    <w:rsid w:val="00B93788"/>
    <w:rsid w:val="00BB64F1"/>
    <w:rsid w:val="00BB6A87"/>
    <w:rsid w:val="00BE26F0"/>
    <w:rsid w:val="00BF3FDC"/>
    <w:rsid w:val="00C21E7A"/>
    <w:rsid w:val="00C258A2"/>
    <w:rsid w:val="00C40AA4"/>
    <w:rsid w:val="00C67CC4"/>
    <w:rsid w:val="00CD21B1"/>
    <w:rsid w:val="00D42D52"/>
    <w:rsid w:val="00D60D94"/>
    <w:rsid w:val="00D9714A"/>
    <w:rsid w:val="00E65431"/>
    <w:rsid w:val="00E71245"/>
    <w:rsid w:val="00EC3709"/>
    <w:rsid w:val="00F541A1"/>
    <w:rsid w:val="00F73D27"/>
    <w:rsid w:val="00F76C69"/>
    <w:rsid w:val="02D17B65"/>
    <w:rsid w:val="03834CED"/>
    <w:rsid w:val="03B76BF5"/>
    <w:rsid w:val="0B762794"/>
    <w:rsid w:val="0D893DFF"/>
    <w:rsid w:val="14F30EFA"/>
    <w:rsid w:val="173A3411"/>
    <w:rsid w:val="177D61DB"/>
    <w:rsid w:val="23276A4A"/>
    <w:rsid w:val="2BA7125E"/>
    <w:rsid w:val="2D26202F"/>
    <w:rsid w:val="2D765022"/>
    <w:rsid w:val="2DF47F90"/>
    <w:rsid w:val="31BE384A"/>
    <w:rsid w:val="34A904C1"/>
    <w:rsid w:val="38DC0A8D"/>
    <w:rsid w:val="40E078F2"/>
    <w:rsid w:val="49DB4A9D"/>
    <w:rsid w:val="49E85F96"/>
    <w:rsid w:val="4DBB257D"/>
    <w:rsid w:val="52DD2633"/>
    <w:rsid w:val="57D64A0E"/>
    <w:rsid w:val="5A993AF6"/>
    <w:rsid w:val="5F0D3160"/>
    <w:rsid w:val="6AFF4A14"/>
    <w:rsid w:val="6F5306EF"/>
    <w:rsid w:val="6FC458AF"/>
    <w:rsid w:val="73C37C63"/>
    <w:rsid w:val="7BF840B3"/>
    <w:rsid w:val="7DF95658"/>
    <w:rsid w:val="7F1001D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7">
    <w:name w:val="Default Paragraph Font"/>
    <w:semiHidden/>
    <w:qFormat/>
    <w:uiPriority w:val="99"/>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8">
    <w:name w:val="footnote reference"/>
    <w:basedOn w:val="7"/>
    <w:semiHidden/>
    <w:qFormat/>
    <w:uiPriority w:val="99"/>
    <w:rPr>
      <w:vertAlign w:val="superscript"/>
    </w:rPr>
  </w:style>
  <w:style w:type="character" w:customStyle="1" w:styleId="10">
    <w:name w:val="Footer Char"/>
    <w:basedOn w:val="7"/>
    <w:link w:val="2"/>
    <w:semiHidden/>
    <w:qFormat/>
    <w:locked/>
    <w:uiPriority w:val="99"/>
    <w:rPr>
      <w:rFonts w:ascii="Times New Roman" w:hAnsi="Times New Roman" w:eastAsia="宋体" w:cs="Times New Roman"/>
      <w:sz w:val="18"/>
      <w:szCs w:val="18"/>
    </w:rPr>
  </w:style>
  <w:style w:type="character" w:customStyle="1" w:styleId="11">
    <w:name w:val="Header Char"/>
    <w:basedOn w:val="7"/>
    <w:link w:val="3"/>
    <w:semiHidden/>
    <w:qFormat/>
    <w:locked/>
    <w:uiPriority w:val="99"/>
    <w:rPr>
      <w:rFonts w:ascii="Times New Roman" w:hAnsi="Times New Roman" w:eastAsia="宋体" w:cs="Times New Roman"/>
      <w:sz w:val="18"/>
      <w:szCs w:val="18"/>
    </w:rPr>
  </w:style>
  <w:style w:type="character" w:customStyle="1" w:styleId="12">
    <w:name w:val="Footnote Text Char"/>
    <w:basedOn w:val="7"/>
    <w:link w:val="5"/>
    <w:semiHidden/>
    <w:qFormat/>
    <w:locked/>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 w:type="character" w:customStyle="1" w:styleId="14">
    <w:name w:val="Footnote Text Char1"/>
    <w:basedOn w:val="7"/>
    <w:link w:val="5"/>
    <w:semiHidden/>
    <w:qFormat/>
    <w:locked/>
    <w:uiPriority w:val="99"/>
    <w:rPr>
      <w:rFonts w:ascii="Calibri" w:hAnsi="Calibri" w:eastAsia="宋体" w:cs="Calibri"/>
      <w:kern w:val="2"/>
      <w:sz w:val="18"/>
      <w:szCs w:val="18"/>
      <w:lang w:val="en-US" w:eastAsia="zh-CN"/>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notes.xml" Type="http://schemas.openxmlformats.org/officeDocument/2006/relationships/footnotes"/><Relationship Id="rId4" Target="header1.xml" Type="http://schemas.openxmlformats.org/officeDocument/2006/relationships/header"/><Relationship Id="rId5" Target="footer1.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B7E8BD"/>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19</Pages>
  <Words>1468</Words>
  <Characters>8372</Characters>
  <Lines>0</Lines>
  <Paragraphs>0</Paragraphs>
  <TotalTime>3</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隆尧县人民政府办公室</cp:lastModifiedBy>
  <cp:lastPrinted>2017-02-10T09:57:00Z</cp:lastPrinted>
  <dcterms:modified xsi:type="dcterms:W3CDTF">2021-05-20T08:07:35Z</dcterms:modified>
  <cp:revision>19</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