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p>
      <w:pPr>
        <w:jc w:val="center"/>
        <w:rPr>
          <w:rFonts w:hint="eastAsia" w:ascii="黑体" w:hAnsi="黑体" w:eastAsia="黑体" w:cs="黑体"/>
          <w:sz w:val="44"/>
          <w:szCs w:val="44"/>
        </w:rPr>
      </w:pPr>
      <w:r>
        <w:rPr>
          <w:rFonts w:hint="eastAsia" w:ascii="黑体" w:hAnsi="黑体" w:eastAsia="黑体" w:cs="黑体"/>
          <w:sz w:val="44"/>
          <w:szCs w:val="44"/>
        </w:rPr>
        <w:t>隆尧县牛家桥乡人民政府</w:t>
      </w:r>
    </w:p>
    <w:p>
      <w:pPr>
        <w:jc w:val="center"/>
        <w:rPr>
          <w:rFonts w:hint="eastAsia" w:ascii="黑体" w:hAnsi="黑体" w:eastAsia="黑体" w:cs="黑体"/>
          <w:sz w:val="44"/>
          <w:szCs w:val="44"/>
        </w:rPr>
      </w:pPr>
      <w:r>
        <w:rPr>
          <w:rFonts w:hint="eastAsia" w:ascii="黑体" w:hAnsi="黑体" w:eastAsia="黑体" w:cs="黑体"/>
          <w:sz w:val="44"/>
          <w:szCs w:val="44"/>
        </w:rPr>
        <w:t>“村级转移支付/服务群众专项经费”</w:t>
      </w:r>
      <w:r>
        <w:rPr>
          <w:rFonts w:hint="eastAsia" w:ascii="黑体" w:hAnsi="黑体" w:eastAsia="黑体" w:cs="黑体"/>
          <w:sz w:val="44"/>
          <w:szCs w:val="44"/>
        </w:rPr>
        <w:t>绩效评价自评报告</w:t>
      </w: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"为加强财政支出管理，强化支出责任，提高财政资金使用效益，依据《预算法》、《中共中央 国务院关于全面实施预算管理的意见》（中发〔2018〕34号）、《财政部关于印发&lt;财政支出绩效评级管理暂行办法&gt;的通知》（财预〔2011〕285号）、《河北省人民政府关于深化绩效预算管理改革的意见》（冀政〔2014〕76号）、《邢台市人民政府印发关于深化推进预算绩效管理意见的通知》（邢政〔2013〕13号）和《全面实施预算绩效管理推进工作方案》(隆财〔2020〕118号)等文件有关要求，对隆尧县牛家桥乡人民政府2020年村级转移支付/服务群众专项经费财政支出75万元进行绩效评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评价公允地反映了2020年村级转移支付/服务群众专项经费资金在投入、过程、产出及效益方面的情况，对项目实施中存在的问题提出改进意见，以及在今后的工作中进一步完善工作流程，提高项目绩效水平。现将绩效评价情况及结果报告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一、项目基本情况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隆尧县牛家桥乡人民政府为镇政府工作部门，机构规格正科级，位于隆尧县牛家桥乡牛家桥街1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二、项目开展及资金支出情况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（一）项目开展情况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牛家桥乡共有15个行政村，2020年我镇总体预期目标是：全镇生产总值年均递增8%以上，财政总收入年均递增9%以上，全镇固定资产投资年均递增10%以上。全镇综合经济实力进一步增强，社会事业全面进步，人民生活水平明显提高，环境质量进一步优化。</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（二）资金支出及结存情况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该项目2020年度预算安排75万元，截至2020年12月，隆尧县财政局下拨隆尧县牛家桥乡人民政府“2020年村级转移支付/服务群众专项经费”资金共计75万元，累计已支出75万元，项目资金结存0万元。</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三、综合评价情况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（一）绩效评价等级</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rPr>
      </w:pPr>
      <w:r>
        <w:rPr>
          <w:rFonts w:hint="eastAsia" w:ascii="仿宋" w:hAnsi="仿宋" w:eastAsia="仿宋" w:cs="仿宋"/>
          <w:sz w:val="32"/>
          <w:szCs w:val="32"/>
        </w:rPr>
        <w:t>为了按照统一规则和标准实施评价工作，更加准确地反映项目单位的绩效实际情况，我们将综合绩效评价级别分为4个等级。具体评价等级分类如下："</w:t>
      </w:r>
      <w:r>
        <w:rPr>
          <w:rFonts w:hint="eastAsia" w:ascii="仿宋" w:hAnsi="仿宋" w:eastAsia="仿宋" w:cs="仿宋"/>
          <w:sz w:val="32"/>
          <w:szCs w:val="32"/>
        </w:rPr>
        <w:tab/>
      </w:r>
      <w:r>
        <w:rPr>
          <w:rFonts w:hint="eastAsia"/>
        </w:rPr>
        <w:tab/>
      </w:r>
      <w:r>
        <w:rPr>
          <w:rFonts w:hint="eastAsia"/>
        </w:rPr>
        <w:tab/>
      </w:r>
      <w:r>
        <w:rPr>
          <w:rFonts w:hint="eastAsia"/>
        </w:rPr>
        <w:tab/>
      </w:r>
      <w:r>
        <w:rPr>
          <w:rFonts w:hint="eastAsia"/>
        </w:rPr>
        <w:tab/>
      </w:r>
      <w:r>
        <w:rPr>
          <w:rFonts w:hint="eastAsia"/>
        </w:rPr>
        <w:tab/>
      </w: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tbl>
      <w:tblPr>
        <w:tblW w:w="9855" w:type="dxa"/>
        <w:tblInd w:w="0" w:type="dxa"/>
        <w:shd w:val="clear"/>
        <w:tblLayout w:type="autofit"/>
        <w:tblCellMar>
          <w:top w:w="0" w:type="dxa"/>
          <w:left w:w="0" w:type="dxa"/>
          <w:bottom w:w="0" w:type="dxa"/>
          <w:right w:w="0" w:type="dxa"/>
        </w:tblCellMar>
      </w:tblPr>
      <w:tblGrid>
        <w:gridCol w:w="915"/>
        <w:gridCol w:w="660"/>
        <w:gridCol w:w="2265"/>
        <w:gridCol w:w="870"/>
        <w:gridCol w:w="5145"/>
      </w:tblGrid>
      <w:tr>
        <w:tblPrEx>
          <w:shd w:val="clear"/>
          <w:tblCellMar>
            <w:top w:w="0" w:type="dxa"/>
            <w:left w:w="0" w:type="dxa"/>
            <w:bottom w:w="0" w:type="dxa"/>
            <w:right w:w="0" w:type="dxa"/>
          </w:tblCellMar>
        </w:tblPrEx>
        <w:trPr>
          <w:trHeight w:val="390" w:hRule="atLeast"/>
        </w:trPr>
        <w:tc>
          <w:tcPr>
            <w:tcW w:w="9855" w:type="dxa"/>
            <w:gridSpan w:val="5"/>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bdr w:val="none" w:color="auto" w:sz="0" w:space="0"/>
                <w:lang w:val="en-US" w:eastAsia="zh-CN" w:bidi="ar"/>
              </w:rPr>
              <w:t>绩效评价等级分类表</w:t>
            </w:r>
          </w:p>
        </w:tc>
      </w:tr>
      <w:tr>
        <w:tblPrEx>
          <w:tblCellMar>
            <w:top w:w="0" w:type="dxa"/>
            <w:left w:w="0" w:type="dxa"/>
            <w:bottom w:w="0" w:type="dxa"/>
            <w:right w:w="0" w:type="dxa"/>
          </w:tblCellMar>
        </w:tblPrEx>
        <w:trPr>
          <w:trHeight w:val="300" w:hRule="atLeast"/>
        </w:trPr>
        <w:tc>
          <w:tcPr>
            <w:tcW w:w="915" w:type="dxa"/>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项目</w:t>
            </w:r>
          </w:p>
        </w:tc>
        <w:tc>
          <w:tcPr>
            <w:tcW w:w="660"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优</w:t>
            </w:r>
          </w:p>
        </w:tc>
        <w:tc>
          <w:tcPr>
            <w:tcW w:w="2265"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良</w:t>
            </w:r>
          </w:p>
        </w:tc>
        <w:tc>
          <w:tcPr>
            <w:tcW w:w="630" w:type="dxa"/>
            <w:tcBorders>
              <w:top w:val="single" w:color="000000" w:sz="8" w:space="0"/>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中</w:t>
            </w:r>
          </w:p>
        </w:tc>
        <w:tc>
          <w:tcPr>
            <w:tcW w:w="53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差</w:t>
            </w:r>
          </w:p>
        </w:tc>
      </w:tr>
      <w:tr>
        <w:tblPrEx>
          <w:tblCellMar>
            <w:top w:w="0" w:type="dxa"/>
            <w:left w:w="0" w:type="dxa"/>
            <w:bottom w:w="0" w:type="dxa"/>
            <w:right w:w="0" w:type="dxa"/>
          </w:tblCellMar>
        </w:tblPrEx>
        <w:trPr>
          <w:trHeight w:val="585" w:hRule="atLeast"/>
        </w:trPr>
        <w:tc>
          <w:tcPr>
            <w:tcW w:w="915" w:type="dxa"/>
            <w:tcBorders>
              <w:top w:val="nil"/>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分值</w:t>
            </w: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≥1</w:t>
            </w:r>
            <w:r>
              <w:rPr>
                <w:rStyle w:val="4"/>
                <w:bdr w:val="none" w:color="auto" w:sz="0" w:space="0"/>
                <w:lang w:val="en-US" w:eastAsia="zh-CN" w:bidi="ar"/>
              </w:rPr>
              <w:t>00%</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9</w:t>
            </w:r>
            <w:r>
              <w:rPr>
                <w:rStyle w:val="4"/>
                <w:bdr w:val="none" w:color="auto" w:sz="0" w:space="0"/>
                <w:lang w:val="en-US" w:eastAsia="zh-CN" w:bidi="ar"/>
              </w:rPr>
              <w:t>0%-99%</w:t>
            </w:r>
          </w:p>
        </w:tc>
        <w:tc>
          <w:tcPr>
            <w:tcW w:w="630"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bdr w:val="none" w:color="auto" w:sz="0" w:space="0"/>
                <w:lang w:val="en-US" w:eastAsia="zh-CN" w:bidi="ar"/>
              </w:rPr>
              <w:t>8</w:t>
            </w:r>
            <w:r>
              <w:rPr>
                <w:rStyle w:val="4"/>
                <w:bdr w:val="none" w:color="auto" w:sz="0" w:space="0"/>
                <w:lang w:val="en-US" w:eastAsia="zh-CN" w:bidi="ar"/>
              </w:rPr>
              <w:t>0%-89%</w:t>
            </w:r>
          </w:p>
        </w:tc>
        <w:tc>
          <w:tcPr>
            <w:tcW w:w="53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bdr w:val="none" w:color="auto" w:sz="0" w:space="0"/>
                <w:lang w:val="en-US" w:eastAsia="zh-CN" w:bidi="ar"/>
              </w:rPr>
              <w:t>&lt;80%</w:t>
            </w:r>
          </w:p>
        </w:tc>
      </w:tr>
    </w:tbl>
    <w:p>
      <w:pPr>
        <w:rPr>
          <w:rFonts w:hint="eastAsia"/>
        </w:rPr>
      </w:pP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p>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rPr>
      </w:pPr>
      <w:r>
        <w:rPr>
          <w:rFonts w:hint="eastAsia" w:ascii="仿宋" w:hAnsi="仿宋" w:eastAsia="仿宋" w:cs="仿宋"/>
          <w:sz w:val="32"/>
          <w:szCs w:val="32"/>
        </w:rPr>
        <w:t>（二）绩效评价指标</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本次绩效评价，我们根据实际情况，暂定项目绩效总分100分，确定了评分扣减项目，具体指标及分值情况设定如下：</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rPr>
      </w:pPr>
      <w:r>
        <w:rPr>
          <w:rFonts w:hint="eastAsia" w:ascii="仿宋" w:hAnsi="仿宋" w:eastAsia="仿宋" w:cs="仿宋"/>
          <w:sz w:val="32"/>
          <w:szCs w:val="32"/>
        </w:rPr>
        <w:t>项目绩效指标明细表</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rPr>
        <w:tab/>
      </w:r>
      <w:r>
        <w:rPr>
          <w:rFonts w:hint="eastAsia"/>
        </w:rPr>
        <w:tab/>
      </w:r>
      <w:r>
        <w:rPr>
          <w:rFonts w:hint="eastAsia"/>
        </w:rPr>
        <w:tab/>
      </w:r>
      <w:r>
        <w:rPr>
          <w:rFonts w:hint="eastAsia"/>
        </w:rPr>
        <w:tab/>
      </w:r>
    </w:p>
    <w:p>
      <w:pPr>
        <w:rPr>
          <w:rFonts w:hint="eastAsia"/>
        </w:rPr>
      </w:pPr>
      <w:r>
        <w:rPr>
          <w:rFonts w:hint="eastAsia"/>
        </w:rPr>
        <w:tab/>
      </w:r>
      <w:r>
        <w:rPr>
          <w:rFonts w:hint="eastAsia"/>
        </w:rPr>
        <w:tab/>
      </w:r>
      <w:r>
        <w:rPr>
          <w:rFonts w:hint="eastAsia"/>
        </w:rPr>
        <w:tab/>
      </w:r>
      <w:r>
        <w:rPr>
          <w:rFonts w:hint="eastAsia"/>
        </w:rPr>
        <w:tab/>
      </w:r>
      <w:r>
        <w:rPr>
          <w:rFonts w:hint="eastAsia"/>
        </w:rPr>
        <w:tab/>
      </w:r>
      <w:r>
        <w:rPr>
          <w:rFonts w:hint="eastAsia"/>
        </w:rPr>
        <w:tab/>
      </w:r>
    </w:p>
    <w:tbl>
      <w:tblPr>
        <w:tblW w:w="9855" w:type="dxa"/>
        <w:tblInd w:w="0" w:type="dxa"/>
        <w:shd w:val="clear"/>
        <w:tblLayout w:type="autofit"/>
        <w:tblCellMar>
          <w:top w:w="0" w:type="dxa"/>
          <w:left w:w="0" w:type="dxa"/>
          <w:bottom w:w="0" w:type="dxa"/>
          <w:right w:w="0" w:type="dxa"/>
        </w:tblCellMar>
      </w:tblPr>
      <w:tblGrid>
        <w:gridCol w:w="915"/>
        <w:gridCol w:w="660"/>
        <w:gridCol w:w="2265"/>
        <w:gridCol w:w="630"/>
        <w:gridCol w:w="2400"/>
        <w:gridCol w:w="2355"/>
        <w:gridCol w:w="630"/>
      </w:tblGrid>
      <w:tr>
        <w:tblPrEx>
          <w:shd w:val="clear"/>
          <w:tblCellMar>
            <w:top w:w="0" w:type="dxa"/>
            <w:left w:w="0" w:type="dxa"/>
            <w:bottom w:w="0" w:type="dxa"/>
            <w:right w:w="0" w:type="dxa"/>
          </w:tblCellMar>
        </w:tblPrEx>
        <w:trPr>
          <w:trHeight w:val="690" w:hRule="atLeast"/>
        </w:trPr>
        <w:tc>
          <w:tcPr>
            <w:tcW w:w="915" w:type="dxa"/>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一级指标</w:t>
            </w:r>
          </w:p>
        </w:tc>
        <w:tc>
          <w:tcPr>
            <w:tcW w:w="660"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二级指标</w:t>
            </w:r>
          </w:p>
        </w:tc>
        <w:tc>
          <w:tcPr>
            <w:tcW w:w="2265"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三级指标</w:t>
            </w:r>
          </w:p>
        </w:tc>
        <w:tc>
          <w:tcPr>
            <w:tcW w:w="630"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分值</w:t>
            </w:r>
          </w:p>
        </w:tc>
        <w:tc>
          <w:tcPr>
            <w:tcW w:w="2400"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指标内容</w:t>
            </w:r>
          </w:p>
        </w:tc>
        <w:tc>
          <w:tcPr>
            <w:tcW w:w="2355" w:type="dxa"/>
            <w:tcBorders>
              <w:top w:val="single" w:color="000000" w:sz="8" w:space="0"/>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评价标准</w:t>
            </w:r>
          </w:p>
        </w:tc>
        <w:tc>
          <w:tcPr>
            <w:tcW w:w="630" w:type="dxa"/>
            <w:tcBorders>
              <w:top w:val="single" w:color="000000" w:sz="8" w:space="0"/>
              <w:left w:val="nil"/>
              <w:bottom w:val="nil"/>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bdr w:val="none" w:color="auto" w:sz="0" w:space="0"/>
                <w:lang w:val="en-US" w:eastAsia="zh-CN" w:bidi="ar"/>
              </w:rPr>
              <w:t>得分</w:t>
            </w:r>
          </w:p>
        </w:tc>
      </w:tr>
      <w:tr>
        <w:tblPrEx>
          <w:tblCellMar>
            <w:top w:w="0" w:type="dxa"/>
            <w:left w:w="0" w:type="dxa"/>
            <w:bottom w:w="0" w:type="dxa"/>
            <w:right w:w="0" w:type="dxa"/>
          </w:tblCellMar>
        </w:tblPrEx>
        <w:trPr>
          <w:trHeight w:val="1223" w:hRule="atLeast"/>
        </w:trPr>
        <w:tc>
          <w:tcPr>
            <w:tcW w:w="915"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“工作活动”设置（15）</w:t>
            </w: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工作活动相关性</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政策相关性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3</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工作活动是否符合各级政府战略部署和发展规划，宏观政策、行业政策一致。</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工作活动符合各级政府战略部署和发展规划，宏观政策、行业政策一致，得3分。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90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部门职责相关性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3</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工作活动是否与部门职责、工作规划和重点工作相关。</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全部用于村级经费，得3分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117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预算项目相关性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3</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工作活动项下确定的预算项目是否合理，是否与工作活动密切相关；工作活动和项目预算安排是否合理。</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工作活动项下确定的预算项目合理，与工作活动密切相关，得1分；工作活动和项目预算安排合理，得2分。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147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绩效目标、指标科学性</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绩效目标设立科学性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3</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工作活动是否有明确的绩效目标，绩效目标是否与部门职责目标、部门年度工作目标一致，是否能体现工作活动的产出和效果。</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工作活动有明确的绩效目标，得1分；绩效目标与部门职责目标、部门年度工作目标一致，得1分；绩效目标能体现工作活动的产出和效果，得1分。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1275"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绩效指标设立科学性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3</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工作活动是否有明确的绩效指标，指标设置是否能准确反映活动目标完成情况，是否细化量化，是否可衡量。</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绩效指标设置能准确反映活动目标完成情况，得2分；细化量化，可衡量，得1分。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1620" w:hRule="atLeast"/>
        </w:trPr>
        <w:tc>
          <w:tcPr>
            <w:tcW w:w="915"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“工作活动”管理（25）</w:t>
            </w: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财务管理规范性</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资金拨付情况</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4</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实际拨付资金占预算安排资金的比例。</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资金没有足额到位，资金到位率每降低一个百分点扣分值的10%，到位率小于等于90%得0分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4</w:t>
            </w:r>
          </w:p>
        </w:tc>
      </w:tr>
      <w:tr>
        <w:tblPrEx>
          <w:tblCellMar>
            <w:top w:w="0" w:type="dxa"/>
            <w:left w:w="0" w:type="dxa"/>
            <w:bottom w:w="0" w:type="dxa"/>
            <w:right w:w="0" w:type="dxa"/>
          </w:tblCellMar>
        </w:tblPrEx>
        <w:trPr>
          <w:trHeight w:val="100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资金支出进度</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4</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资金是否按照规定（计划）的时间进度要求拨付或下达</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支出进度每落后一个时间节点要求，扣分值的25%,扣完为止。</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3</w:t>
            </w:r>
          </w:p>
        </w:tc>
      </w:tr>
      <w:tr>
        <w:tblPrEx>
          <w:tblCellMar>
            <w:top w:w="0" w:type="dxa"/>
            <w:left w:w="0" w:type="dxa"/>
            <w:bottom w:w="0" w:type="dxa"/>
            <w:right w:w="0" w:type="dxa"/>
          </w:tblCellMar>
        </w:tblPrEx>
        <w:trPr>
          <w:trHeight w:val="226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资金使用规范性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7</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资金拨付手续是否完整，是否符合预算和国库管理有关规定；资金使用是否符合《预算法》等法律、法规、财务管理制度和资金管理办法规定。</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资金拨付手续完整，符合预算和国库管理有关规定，得3分；资金使用符合《预算法》等法律、法规、财务管理制度和资金管理办法规定的，得4分。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7</w:t>
            </w:r>
          </w:p>
        </w:tc>
      </w:tr>
      <w:tr>
        <w:tblPrEx>
          <w:tblCellMar>
            <w:top w:w="0" w:type="dxa"/>
            <w:left w:w="0" w:type="dxa"/>
            <w:bottom w:w="0" w:type="dxa"/>
            <w:right w:w="0" w:type="dxa"/>
          </w:tblCellMar>
        </w:tblPrEx>
        <w:trPr>
          <w:trHeight w:val="180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工作活动实施保障</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管理制度健全性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6</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部门制定的实施方案、管理制度和措施（包括财务制度）是否明确、清晰、具有可操作性，能否保障工作活动顺利实施。</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部门制定了实施方案、管理制度和措施（包括财务制度），得3分；各项方案和制度措施明确、清晰、具有可操作性，得3分。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6</w:t>
            </w:r>
          </w:p>
        </w:tc>
      </w:tr>
      <w:tr>
        <w:tblPrEx>
          <w:tblCellMar>
            <w:top w:w="0" w:type="dxa"/>
            <w:left w:w="0" w:type="dxa"/>
            <w:bottom w:w="0" w:type="dxa"/>
            <w:right w:w="0" w:type="dxa"/>
          </w:tblCellMar>
        </w:tblPrEx>
        <w:trPr>
          <w:trHeight w:val="174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过程控制有效性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4</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保障工作活动实施、资金安全的各项制度措施是否得到有效落实，是否有风险应对措施。</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保障工作活动实施、资金安全的各项制度措施得到有效落实，得2分，有风险应对措施，得2分。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4</w:t>
            </w:r>
          </w:p>
        </w:tc>
      </w:tr>
      <w:tr>
        <w:tblPrEx>
          <w:tblCellMar>
            <w:top w:w="0" w:type="dxa"/>
            <w:left w:w="0" w:type="dxa"/>
            <w:bottom w:w="0" w:type="dxa"/>
            <w:right w:w="0" w:type="dxa"/>
          </w:tblCellMar>
        </w:tblPrEx>
        <w:trPr>
          <w:trHeight w:val="1350" w:hRule="atLeast"/>
        </w:trPr>
        <w:tc>
          <w:tcPr>
            <w:tcW w:w="915"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“工作活动”产出（25）</w:t>
            </w: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工作活动产出数量完成率</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产出一数量完成率</w:t>
            </w:r>
          </w:p>
        </w:tc>
        <w:tc>
          <w:tcPr>
            <w:tcW w:w="0" w:type="auto"/>
            <w:vMerge w:val="restart"/>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7</w:t>
            </w:r>
          </w:p>
        </w:tc>
        <w:tc>
          <w:tcPr>
            <w:tcW w:w="240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反映工作活动设定目标的完成程度，由评价工作组结合被评价工作活动产出指标设置情况及业务情况进行细化，各项产出逐一评价，逐一确定分值。</w:t>
            </w:r>
          </w:p>
        </w:tc>
        <w:tc>
          <w:tcPr>
            <w:tcW w:w="2355" w:type="dxa"/>
            <w:vMerge w:val="restart"/>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根据工作活动和具体产出指标设定每一项产出数量完成率的分值。完成率为100%的，得该项产出分值的满分；完成率为90%至100%的，得该项产出分值的90%；完成率为80%至90%的，得该项产出分值的80%；完成率为70%至80%的，得该项产出分值的60%：完成率低于70%的，不得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6</w:t>
            </w:r>
          </w:p>
        </w:tc>
      </w:tr>
      <w:tr>
        <w:tblPrEx>
          <w:tblCellMar>
            <w:top w:w="0" w:type="dxa"/>
            <w:left w:w="0" w:type="dxa"/>
            <w:bottom w:w="0" w:type="dxa"/>
            <w:right w:w="0" w:type="dxa"/>
          </w:tblCellMar>
        </w:tblPrEx>
        <w:trPr>
          <w:trHeight w:val="144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产出二数量完成率</w:t>
            </w:r>
          </w:p>
        </w:tc>
        <w:tc>
          <w:tcPr>
            <w:tcW w:w="0" w:type="auto"/>
            <w:vMerge w:val="continue"/>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240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355" w:type="dxa"/>
            <w:vMerge w:val="continue"/>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50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w:t>
            </w:r>
          </w:p>
        </w:tc>
        <w:tc>
          <w:tcPr>
            <w:tcW w:w="0" w:type="auto"/>
            <w:vMerge w:val="continue"/>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240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355" w:type="dxa"/>
            <w:vMerge w:val="continue"/>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20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工作活动产出质量达标率</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产出一质量达标率</w:t>
            </w:r>
          </w:p>
        </w:tc>
        <w:tc>
          <w:tcPr>
            <w:tcW w:w="0" w:type="auto"/>
            <w:vMerge w:val="restart"/>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7</w:t>
            </w:r>
          </w:p>
        </w:tc>
        <w:tc>
          <w:tcPr>
            <w:tcW w:w="2400"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反映工作活动的产出是否达到预期质量标准。由评价工作组结合被评价工作活动产出指标设置情况及业务情况进行细化。</w:t>
            </w:r>
          </w:p>
        </w:tc>
        <w:tc>
          <w:tcPr>
            <w:tcW w:w="2355" w:type="dxa"/>
            <w:vMerge w:val="restart"/>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根据工作活动和具体产出指标设定每一项产出质量达标率的分值。达标率为100%的，得该项产出分值的满分；达标率为90%至100%的，得该项产出分值的90%；达标率为80%至90%的，得该项产出分值的80%；达标率为70%至80%的，得该项产出分值的60%：达标率低于70%的，不得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7</w:t>
            </w:r>
          </w:p>
        </w:tc>
      </w:tr>
      <w:tr>
        <w:tblPrEx>
          <w:tblCellMar>
            <w:top w:w="0" w:type="dxa"/>
            <w:left w:w="0" w:type="dxa"/>
            <w:bottom w:w="0" w:type="dxa"/>
            <w:right w:w="0" w:type="dxa"/>
          </w:tblCellMar>
        </w:tblPrEx>
        <w:trPr>
          <w:trHeight w:val="75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产出二质量达标率</w:t>
            </w:r>
          </w:p>
        </w:tc>
        <w:tc>
          <w:tcPr>
            <w:tcW w:w="0" w:type="auto"/>
            <w:vMerge w:val="continue"/>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240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355" w:type="dxa"/>
            <w:vMerge w:val="continue"/>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76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w:t>
            </w:r>
          </w:p>
        </w:tc>
        <w:tc>
          <w:tcPr>
            <w:tcW w:w="0" w:type="auto"/>
            <w:vMerge w:val="continue"/>
            <w:tcBorders>
              <w:top w:val="single" w:color="000000" w:sz="8" w:space="0"/>
              <w:left w:val="single" w:color="000000" w:sz="8" w:space="0"/>
              <w:bottom w:val="single" w:color="000000" w:sz="8" w:space="0"/>
              <w:right w:val="single" w:color="000000" w:sz="8" w:space="0"/>
            </w:tcBorders>
            <w:shd w:val="clear"/>
            <w:noWrap/>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2400"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2355" w:type="dxa"/>
            <w:vMerge w:val="continue"/>
            <w:tcBorders>
              <w:top w:val="single" w:color="000000" w:sz="8" w:space="0"/>
              <w:left w:val="single" w:color="000000" w:sz="8" w:space="0"/>
              <w:bottom w:val="single" w:color="000000" w:sz="8" w:space="0"/>
              <w:right w:val="nil"/>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76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工作活动产出完成及时性</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工作活动产出完成及时性</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6</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反映工作活动产出目标实现的及时程度。</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规定时间内完成的，得满分，未按时完成的根据实际情况和有关规定酌情扣分。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6</w:t>
            </w:r>
          </w:p>
        </w:tc>
      </w:tr>
      <w:tr>
        <w:tblPrEx>
          <w:tblCellMar>
            <w:top w:w="0" w:type="dxa"/>
            <w:left w:w="0" w:type="dxa"/>
            <w:bottom w:w="0" w:type="dxa"/>
            <w:right w:w="0" w:type="dxa"/>
          </w:tblCellMar>
        </w:tblPrEx>
        <w:trPr>
          <w:trHeight w:val="117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项目完成率</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项目完成率</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5</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已完成的预算项目个数与即定预算项目个数的比率，用以反映该工作活动下的预算项目完成情况。</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预算项目全部完成的得满分，未按时完成的根据实际情况酌情扣分。</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5</w:t>
            </w:r>
          </w:p>
        </w:tc>
      </w:tr>
      <w:tr>
        <w:tblPrEx>
          <w:tblCellMar>
            <w:top w:w="0" w:type="dxa"/>
            <w:left w:w="0" w:type="dxa"/>
            <w:bottom w:w="0" w:type="dxa"/>
            <w:right w:w="0" w:type="dxa"/>
          </w:tblCellMar>
        </w:tblPrEx>
        <w:trPr>
          <w:trHeight w:val="1460" w:hRule="atLeast"/>
        </w:trPr>
        <w:tc>
          <w:tcPr>
            <w:tcW w:w="915"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“工作活动”效果（35）</w:t>
            </w: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经济效益</w:t>
            </w:r>
          </w:p>
        </w:tc>
        <w:tc>
          <w:tcPr>
            <w:tcW w:w="2265" w:type="dxa"/>
            <w:vMerge w:val="restart"/>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根据具体工作活动细化</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9</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评价该工作活动对当地经济发展所带来的直接或间接影响。</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村域内经济发展</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9</w:t>
            </w:r>
          </w:p>
        </w:tc>
      </w:tr>
      <w:tr>
        <w:tblPrEx>
          <w:tblCellMar>
            <w:top w:w="0" w:type="dxa"/>
            <w:left w:w="0" w:type="dxa"/>
            <w:bottom w:w="0" w:type="dxa"/>
            <w:right w:w="0" w:type="dxa"/>
          </w:tblCellMar>
        </w:tblPrEx>
        <w:trPr>
          <w:trHeight w:val="132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社会效益</w:t>
            </w:r>
          </w:p>
        </w:tc>
        <w:tc>
          <w:tcPr>
            <w:tcW w:w="226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9</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评价该工作活动对当地社会发展和社会稳定所带来的直接或间接影响。</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村内稳定</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9</w:t>
            </w:r>
          </w:p>
        </w:tc>
      </w:tr>
      <w:tr>
        <w:tblPrEx>
          <w:tblCellMar>
            <w:top w:w="0" w:type="dxa"/>
            <w:left w:w="0" w:type="dxa"/>
            <w:bottom w:w="0" w:type="dxa"/>
            <w:right w:w="0" w:type="dxa"/>
          </w:tblCellMar>
        </w:tblPrEx>
        <w:trPr>
          <w:trHeight w:val="132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生态效益</w:t>
            </w:r>
          </w:p>
        </w:tc>
        <w:tc>
          <w:tcPr>
            <w:tcW w:w="226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left"/>
              <w:rPr>
                <w:rFonts w:hint="default" w:ascii="仿宋_GB2312" w:hAnsi="宋体" w:eastAsia="仿宋_GB2312" w:cs="仿宋_GB2312"/>
                <w:i w:val="0"/>
                <w:color w:val="000000"/>
                <w:sz w:val="20"/>
                <w:szCs w:val="20"/>
                <w:u w:val="none"/>
              </w:rPr>
            </w:pP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9</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评价该工作活动对当地自然生态环境所带来的直接或间接影响。</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生态环境质量提高，杜绝污染源</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9</w:t>
            </w:r>
          </w:p>
        </w:tc>
      </w:tr>
      <w:tr>
        <w:tblPrEx>
          <w:tblCellMar>
            <w:top w:w="0" w:type="dxa"/>
            <w:left w:w="0" w:type="dxa"/>
            <w:bottom w:w="0" w:type="dxa"/>
            <w:right w:w="0" w:type="dxa"/>
          </w:tblCellMar>
        </w:tblPrEx>
        <w:trPr>
          <w:trHeight w:val="1230" w:hRule="atLeast"/>
        </w:trPr>
        <w:tc>
          <w:tcPr>
            <w:tcW w:w="915" w:type="dxa"/>
            <w:vMerge w:val="continue"/>
            <w:tcBorders>
              <w:top w:val="single" w:color="000000" w:sz="8" w:space="0"/>
              <w:left w:val="single" w:color="000000" w:sz="8" w:space="0"/>
              <w:bottom w:val="single" w:color="000000" w:sz="8" w:space="0"/>
              <w:right w:val="single" w:color="000000" w:sz="8" w:space="0"/>
            </w:tcBorders>
            <w:shd w:val="clear"/>
            <w:tcMar>
              <w:top w:w="15" w:type="dxa"/>
              <w:left w:w="15" w:type="dxa"/>
              <w:right w:w="15" w:type="dxa"/>
            </w:tcMar>
            <w:vAlign w:val="center"/>
          </w:tcPr>
          <w:p>
            <w:pPr>
              <w:jc w:val="center"/>
              <w:rPr>
                <w:rFonts w:hint="default" w:ascii="仿宋_GB2312" w:hAnsi="宋体" w:eastAsia="仿宋_GB2312" w:cs="仿宋_GB2312"/>
                <w:i w:val="0"/>
                <w:color w:val="000000"/>
                <w:sz w:val="20"/>
                <w:szCs w:val="20"/>
                <w:u w:val="none"/>
              </w:rPr>
            </w:pPr>
          </w:p>
        </w:tc>
        <w:tc>
          <w:tcPr>
            <w:tcW w:w="66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受益群体满意度</w:t>
            </w:r>
          </w:p>
        </w:tc>
        <w:tc>
          <w:tcPr>
            <w:tcW w:w="2265"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受益群体满意度</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8</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通过发放问卷进行社会调查，评价受益群体及相关群体对该项工作活动的认可程度。</w:t>
            </w:r>
          </w:p>
        </w:tc>
        <w:tc>
          <w:tcPr>
            <w:tcW w:w="2355" w:type="dxa"/>
            <w:tcBorders>
              <w:top w:val="nil"/>
              <w:left w:val="nil"/>
              <w:bottom w:val="single" w:color="000000" w:sz="8"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群众满意度</w:t>
            </w: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8</w:t>
            </w:r>
          </w:p>
        </w:tc>
      </w:tr>
      <w:tr>
        <w:tblPrEx>
          <w:tblCellMar>
            <w:top w:w="0" w:type="dxa"/>
            <w:left w:w="0" w:type="dxa"/>
            <w:bottom w:w="0" w:type="dxa"/>
            <w:right w:w="0" w:type="dxa"/>
          </w:tblCellMar>
        </w:tblPrEx>
        <w:trPr>
          <w:trHeight w:val="405" w:hRule="atLeast"/>
        </w:trPr>
        <w:tc>
          <w:tcPr>
            <w:tcW w:w="0" w:type="auto"/>
            <w:tcBorders>
              <w:top w:val="nil"/>
              <w:left w:val="single" w:color="000000" w:sz="8" w:space="0"/>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合计</w:t>
            </w: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bottom"/>
          </w:tcPr>
          <w:p>
            <w:pPr>
              <w:jc w:val="left"/>
              <w:rPr>
                <w:rFonts w:hint="default" w:ascii="仿宋_GB2312" w:hAnsi="宋体" w:eastAsia="仿宋_GB2312" w:cs="仿宋_GB2312"/>
                <w:i w:val="0"/>
                <w:color w:val="000000"/>
                <w:sz w:val="20"/>
                <w:szCs w:val="20"/>
                <w:u w:val="none"/>
              </w:rPr>
            </w:pP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bottom"/>
          </w:tcPr>
          <w:p>
            <w:pPr>
              <w:jc w:val="left"/>
              <w:rPr>
                <w:rFonts w:hint="default" w:ascii="仿宋_GB2312" w:hAnsi="宋体" w:eastAsia="仿宋_GB2312" w:cs="仿宋_GB2312"/>
                <w:i w:val="0"/>
                <w:color w:val="000000"/>
                <w:sz w:val="20"/>
                <w:szCs w:val="20"/>
                <w:u w:val="none"/>
              </w:rPr>
            </w:pPr>
          </w:p>
        </w:tc>
        <w:tc>
          <w:tcPr>
            <w:tcW w:w="0" w:type="auto"/>
            <w:tcBorders>
              <w:top w:val="nil"/>
              <w:left w:val="nil"/>
              <w:bottom w:val="single" w:color="000000" w:sz="8" w:space="0"/>
              <w:right w:val="single" w:color="000000" w:sz="8"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bdr w:val="none" w:color="auto" w:sz="0" w:space="0"/>
                <w:lang w:val="en-US" w:eastAsia="zh-CN" w:bidi="ar"/>
              </w:rPr>
              <w:t>100</w:t>
            </w:r>
          </w:p>
        </w:tc>
        <w:tc>
          <w:tcPr>
            <w:tcW w:w="2400" w:type="dxa"/>
            <w:tcBorders>
              <w:top w:val="nil"/>
              <w:left w:val="nil"/>
              <w:bottom w:val="single" w:color="000000" w:sz="8" w:space="0"/>
              <w:right w:val="single" w:color="000000" w:sz="8" w:space="0"/>
            </w:tcBorders>
            <w:shd w:val="clear"/>
            <w:tcMar>
              <w:top w:w="15" w:type="dxa"/>
              <w:left w:w="15" w:type="dxa"/>
              <w:right w:w="15" w:type="dxa"/>
            </w:tcMar>
            <w:vAlign w:val="bottom"/>
          </w:tcPr>
          <w:p>
            <w:pPr>
              <w:jc w:val="left"/>
              <w:rPr>
                <w:rFonts w:hint="default" w:ascii="仿宋_GB2312" w:hAnsi="宋体" w:eastAsia="仿宋_GB2312" w:cs="仿宋_GB2312"/>
                <w:i w:val="0"/>
                <w:color w:val="000000"/>
                <w:sz w:val="20"/>
                <w:szCs w:val="20"/>
                <w:u w:val="none"/>
              </w:rPr>
            </w:pPr>
          </w:p>
        </w:tc>
        <w:tc>
          <w:tcPr>
            <w:tcW w:w="0" w:type="auto"/>
            <w:tcBorders>
              <w:top w:val="nil"/>
              <w:left w:val="nil"/>
              <w:bottom w:val="single" w:color="000000" w:sz="8" w:space="0"/>
              <w:right w:val="nil"/>
            </w:tcBorders>
            <w:shd w:val="clear"/>
            <w:noWrap/>
            <w:tcMar>
              <w:top w:w="15" w:type="dxa"/>
              <w:left w:w="15" w:type="dxa"/>
              <w:right w:w="15" w:type="dxa"/>
            </w:tcMar>
            <w:vAlign w:val="bottom"/>
          </w:tcPr>
          <w:p>
            <w:pPr>
              <w:jc w:val="left"/>
              <w:rPr>
                <w:rFonts w:hint="default" w:ascii="仿宋_GB2312" w:hAnsi="宋体" w:eastAsia="仿宋_GB2312" w:cs="仿宋_GB2312"/>
                <w:i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bdr w:val="none" w:color="auto" w:sz="0" w:space="0"/>
                <w:lang w:val="en-US" w:eastAsia="zh-CN" w:bidi="ar"/>
              </w:rPr>
              <w:t>98</w:t>
            </w:r>
          </w:p>
        </w:tc>
      </w:tr>
    </w:tbl>
    <w:p>
      <w:pPr>
        <w:rPr>
          <w:rFonts w:hint="eastAsia"/>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评价工作实施中发现，该非税收入项目基本符合规定，非税收入项目资金的支付，在调查全镇土地利用状况，掌握真实准确的土地基础数据，完善土地调查、监测和统计制度等方面发挥了作用，隆尧县牛家桥乡人民政府编制了项目绩效评价报告，但存在绩效指标体系有待完善，绩效目标不明确、目标细化程度不足，项目预算执行率不高等现象。</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该项目2020年度预算安排24.75万元，截至2020年12月底，累计收到县财政局拨付资金24.75万元，资金到位率为100%；资金到位率和到位及时率100%。</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该项目综合得分98分，评价结论为良。</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六、绩效评价结果应用</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本次绩效评价报告仅作为财政部门、预算部门和项目承担单位改进预算管理、编制以后年度预算的参考。绩效评价结果经财政部门同意后，可以按照政府信息公开有关规定在一定范围内公开。</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七、项目建议</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一）提高资金执行率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按规定开展实施非税收入项目，加强实施部门预算编制管理工作，如有变更及时上报调整，按时按量完成资金拨付，提高预算资金的针对性和有效性。"</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（二）严格执行非税资金申报，强化资金保障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规范非税项目申报管理，严格要求非税项目申报单位按规定提供申报材料、填报项目绩效目标，对不合规的项目申报材料不予受理。安排非税资金时先认真测算，进行审查和论证，根据需要达成的考核指标，最大限度地发挥非税资金投入效益。</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单位意见：</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jc w:val="center"/>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bookmarkStart w:id="0" w:name="_GoBack"/>
      <w:bookmarkEnd w:id="0"/>
      <w:r>
        <w:rPr>
          <w:rFonts w:hint="eastAsia" w:ascii="仿宋" w:hAnsi="仿宋" w:eastAsia="仿宋" w:cs="仿宋"/>
          <w:sz w:val="32"/>
          <w:szCs w:val="32"/>
        </w:rPr>
        <w:t>单位盖章:</w:t>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jc w:val="righ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2020年3 月17 日            </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F01A76"/>
    <w:rsid w:val="04F01A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01"/>
    <w:basedOn w:val="3"/>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Office_11.1.0.10214_F1E327BC-269C-435d-A152-05C5408002CA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2021-03-26T03:47:00Z</dcterms:created>
  <dc:creator>哪里跑！！</dc:creator>
  <cp:lastModifiedBy>哪里跑！！</cp:lastModifiedBy>
  <dcterms:modified xsi:type="dcterms:W3CDTF">2021-03-26T03:53:40Z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2052-11.1.0.10214</vt:lpwstr>
  </property>
</Properties>
</file>