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隆尧县司法局</w:t>
      </w:r>
    </w:p>
    <w:p>
      <w:pPr>
        <w:jc w:val="center"/>
        <w:rPr>
          <w:rFonts w:hint="eastAsia" w:ascii="宋体" w:hAnsi="宋体" w:eastAsia="宋体" w:cs="宋体"/>
          <w:bCs/>
          <w:sz w:val="44"/>
          <w:szCs w:val="44"/>
          <w:lang w:eastAsia="zh-CN"/>
        </w:rPr>
      </w:pPr>
      <w:r>
        <w:rPr>
          <w:rFonts w:hint="eastAsia" w:ascii="宋体" w:hAnsi="宋体" w:eastAsia="宋体" w:cs="宋体"/>
          <w:b/>
          <w:bCs/>
          <w:sz w:val="44"/>
          <w:szCs w:val="44"/>
        </w:rPr>
        <w:t>部门整体支出绩效自评</w:t>
      </w:r>
      <w:r>
        <w:rPr>
          <w:rFonts w:hint="eastAsia" w:ascii="宋体" w:hAnsi="宋体" w:eastAsia="宋体" w:cs="宋体"/>
          <w:b/>
          <w:bCs/>
          <w:sz w:val="44"/>
          <w:szCs w:val="44"/>
          <w:lang w:eastAsia="zh-CN"/>
        </w:rPr>
        <w:t>报告</w:t>
      </w:r>
    </w:p>
    <w:p>
      <w:pPr>
        <w:jc w:val="center"/>
        <w:rPr>
          <w:rFonts w:ascii="仿宋_GB2312"/>
          <w:szCs w:val="32"/>
        </w:rPr>
      </w:pPr>
    </w:p>
    <w:p>
      <w:pPr>
        <w:pStyle w:val="7"/>
        <w:ind w:left="432" w:firstLine="161" w:firstLineChars="50"/>
        <w:rPr>
          <w:rFonts w:ascii="仿宋" w:hAnsi="仿宋" w:eastAsia="仿宋"/>
          <w:b/>
          <w:sz w:val="32"/>
          <w:szCs w:val="32"/>
        </w:rPr>
      </w:pPr>
      <w:r>
        <w:rPr>
          <w:rFonts w:hint="eastAsia" w:ascii="仿宋" w:hAnsi="仿宋" w:eastAsia="仿宋"/>
          <w:b/>
          <w:sz w:val="32"/>
          <w:szCs w:val="32"/>
        </w:rPr>
        <w:t>一、部门概况</w:t>
      </w:r>
    </w:p>
    <w:p>
      <w:pPr>
        <w:pStyle w:val="7"/>
        <w:ind w:left="432" w:firstLine="0" w:firstLineChars="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（一）基本职能</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1.承担全面依法治县重大问题的政策研究。组织协调有关方面提出全面依法治县中长期规划建议，负责有关重大决策部署督察工作。</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2.负责县政府规范性文件起草、备案审查工作；负责对县政府政策措施、规范性文件和合同协议的合法性审核工作；负责审查县政府各部门报县政府审核的规范性文件，承办县政府交办的涉法事务。</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3.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4.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w:t>
      </w:r>
      <w:bookmarkStart w:id="0" w:name="_GoBack"/>
      <w:bookmarkEnd w:id="0"/>
      <w:r>
        <w:rPr>
          <w:rFonts w:hint="eastAsia" w:ascii="仿宋_GB2312" w:hAnsi="黑体" w:eastAsia="仿宋_GB2312" w:cs="Times New Roman"/>
          <w:kern w:val="2"/>
          <w:sz w:val="32"/>
          <w:szCs w:val="32"/>
          <w:lang w:val="en-US" w:eastAsia="zh-CN" w:bidi="ar-SA"/>
        </w:rPr>
        <w:t>工作；负责全县刑满释放人员帮教安置工作。</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5.负责制定全县公共法律服务体系建设规划并指导实施，统筹和布局城乡、区域法律服务资源。负责法律援助管理工作；指导、监督全县律师、公证、司法鉴定和基层法律服务管理工作。</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6.负责本系统警车等物资装备管理工作；指导、监督本系统财务、装备、设施、场所等保障工作。</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7.规划、协调、指导全县法治人才队伍建设相关工作。指导、监督本系统队伍建设。</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8.完成县委、县政府交办的其他任务。</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（二）人员情况</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隆尧县司法局单位性质为行政，单位规格为正科级，经费保障形式为财政性资金基本保证，部门机构设置情况如下：内设8个处室，现实有人员4</w:t>
      </w:r>
      <w:r>
        <w:rPr>
          <w:rFonts w:hint="eastAsia" w:ascii="仿宋_GB2312" w:hAnsi="黑体" w:cs="Times New Roman"/>
          <w:kern w:val="2"/>
          <w:sz w:val="32"/>
          <w:szCs w:val="32"/>
          <w:lang w:val="en-US" w:eastAsia="zh-CN" w:bidi="ar-SA"/>
        </w:rPr>
        <w:t>3</w:t>
      </w:r>
      <w:r>
        <w:rPr>
          <w:rFonts w:hint="eastAsia" w:ascii="仿宋_GB2312" w:hAnsi="黑体" w:eastAsia="仿宋_GB2312" w:cs="Times New Roman"/>
          <w:kern w:val="2"/>
          <w:sz w:val="32"/>
          <w:szCs w:val="32"/>
          <w:lang w:val="en-US" w:eastAsia="zh-CN" w:bidi="ar-SA"/>
        </w:rPr>
        <w:t>人，其中：公务员3</w:t>
      </w:r>
      <w:r>
        <w:rPr>
          <w:rFonts w:hint="eastAsia" w:ascii="仿宋_GB2312" w:hAnsi="黑体" w:cs="Times New Roman"/>
          <w:kern w:val="2"/>
          <w:sz w:val="32"/>
          <w:szCs w:val="32"/>
          <w:lang w:val="en-US" w:eastAsia="zh-CN" w:bidi="ar-SA"/>
        </w:rPr>
        <w:t>7</w:t>
      </w:r>
      <w:r>
        <w:rPr>
          <w:rFonts w:hint="eastAsia" w:ascii="仿宋_GB2312" w:hAnsi="黑体" w:eastAsia="仿宋_GB2312" w:cs="Times New Roman"/>
          <w:kern w:val="2"/>
          <w:sz w:val="32"/>
          <w:szCs w:val="32"/>
          <w:lang w:val="en-US" w:eastAsia="zh-CN" w:bidi="ar-SA"/>
        </w:rPr>
        <w:t>人、工人6人。</w:t>
      </w:r>
    </w:p>
    <w:p>
      <w:pPr>
        <w:widowControl/>
        <w:spacing w:line="580" w:lineRule="exact"/>
        <w:ind w:firstLine="480" w:firstLineChars="150"/>
        <w:jc w:val="left"/>
        <w:rPr>
          <w:rFonts w:hint="eastAsia" w:ascii="仿宋" w:hAnsi="仿宋" w:eastAsia="仿宋"/>
          <w:color w:val="000000"/>
          <w:kern w:val="0"/>
          <w:sz w:val="32"/>
          <w:szCs w:val="32"/>
          <w:highlight w:val="none"/>
        </w:rPr>
      </w:pPr>
      <w:r>
        <w:rPr>
          <w:rFonts w:hint="eastAsia" w:ascii="仿宋" w:hAnsi="仿宋" w:eastAsia="仿宋"/>
          <w:color w:val="000000"/>
          <w:kern w:val="0"/>
          <w:sz w:val="32"/>
          <w:szCs w:val="32"/>
          <w:highlight w:val="none"/>
        </w:rPr>
        <w:t>（</w:t>
      </w:r>
      <w:r>
        <w:rPr>
          <w:rFonts w:hint="eastAsia" w:ascii="仿宋" w:hAnsi="仿宋" w:eastAsia="仿宋"/>
          <w:color w:val="000000"/>
          <w:kern w:val="0"/>
          <w:sz w:val="32"/>
          <w:szCs w:val="32"/>
          <w:highlight w:val="none"/>
          <w:lang w:eastAsia="zh-CN"/>
        </w:rPr>
        <w:t>三</w:t>
      </w:r>
      <w:r>
        <w:rPr>
          <w:rFonts w:hint="eastAsia" w:ascii="仿宋" w:hAnsi="仿宋" w:eastAsia="仿宋"/>
          <w:color w:val="000000"/>
          <w:kern w:val="0"/>
          <w:sz w:val="32"/>
          <w:szCs w:val="32"/>
          <w:highlight w:val="none"/>
        </w:rPr>
        <w:t>）</w:t>
      </w:r>
      <w:r>
        <w:rPr>
          <w:rFonts w:hint="eastAsia" w:ascii="仿宋" w:hAnsi="仿宋" w:eastAsia="仿宋"/>
          <w:color w:val="000000"/>
          <w:kern w:val="0"/>
          <w:sz w:val="32"/>
          <w:szCs w:val="32"/>
          <w:highlight w:val="none"/>
          <w:lang w:eastAsia="zh-CN"/>
        </w:rPr>
        <w:t>资产</w:t>
      </w:r>
      <w:r>
        <w:rPr>
          <w:rFonts w:hint="eastAsia" w:ascii="仿宋" w:hAnsi="仿宋" w:eastAsia="仿宋"/>
          <w:color w:val="000000"/>
          <w:kern w:val="0"/>
          <w:sz w:val="32"/>
          <w:szCs w:val="32"/>
          <w:highlight w:val="none"/>
        </w:rPr>
        <w:t>情况</w:t>
      </w:r>
    </w:p>
    <w:p>
      <w:pPr>
        <w:adjustRightInd w:val="0"/>
        <w:spacing w:line="600" w:lineRule="exact"/>
        <w:ind w:firstLine="64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本单位</w:t>
      </w:r>
      <w:r>
        <w:rPr>
          <w:rFonts w:hint="eastAsia" w:ascii="仿宋_GB2312" w:hAnsi="黑体" w:cs="Times New Roman"/>
          <w:kern w:val="2"/>
          <w:sz w:val="32"/>
          <w:szCs w:val="32"/>
          <w:lang w:val="en-US" w:eastAsia="zh-CN" w:bidi="ar-SA"/>
        </w:rPr>
        <w:t>2020</w:t>
      </w:r>
      <w:r>
        <w:rPr>
          <w:rFonts w:hint="eastAsia" w:ascii="仿宋_GB2312" w:hAnsi="黑体" w:eastAsia="仿宋_GB2312" w:cs="Times New Roman"/>
          <w:kern w:val="2"/>
          <w:sz w:val="32"/>
          <w:szCs w:val="32"/>
          <w:lang w:val="en-US" w:eastAsia="zh-CN" w:bidi="ar-SA"/>
        </w:rPr>
        <w:t>年资产数为</w:t>
      </w:r>
      <w:r>
        <w:rPr>
          <w:rFonts w:hint="eastAsia" w:ascii="仿宋_GB2312" w:hAnsi="黑体" w:cs="Times New Roman"/>
          <w:kern w:val="2"/>
          <w:sz w:val="32"/>
          <w:szCs w:val="32"/>
          <w:lang w:val="en-US" w:eastAsia="zh-CN" w:bidi="ar-SA"/>
        </w:rPr>
        <w:t>408.12</w:t>
      </w:r>
      <w:r>
        <w:rPr>
          <w:rFonts w:hint="eastAsia" w:ascii="仿宋_GB2312" w:hAnsi="黑体" w:eastAsia="仿宋_GB2312" w:cs="Times New Roman"/>
          <w:kern w:val="2"/>
          <w:sz w:val="32"/>
          <w:szCs w:val="32"/>
          <w:lang w:val="en-US" w:eastAsia="zh-CN" w:bidi="ar-SA"/>
        </w:rPr>
        <w:t>元，包括固定资产</w:t>
      </w:r>
      <w:r>
        <w:rPr>
          <w:rFonts w:hint="eastAsia" w:ascii="仿宋_GB2312" w:hAnsi="黑体" w:cs="Times New Roman"/>
          <w:kern w:val="2"/>
          <w:sz w:val="32"/>
          <w:szCs w:val="32"/>
          <w:lang w:val="en-US" w:eastAsia="zh-CN" w:bidi="ar-SA"/>
        </w:rPr>
        <w:t>390.77</w:t>
      </w:r>
      <w:r>
        <w:rPr>
          <w:rFonts w:hint="eastAsia" w:ascii="仿宋_GB2312" w:hAnsi="黑体" w:eastAsia="仿宋_GB2312" w:cs="Times New Roman"/>
          <w:kern w:val="2"/>
          <w:sz w:val="32"/>
          <w:szCs w:val="32"/>
          <w:lang w:val="en-US" w:eastAsia="zh-CN" w:bidi="ar-SA"/>
        </w:rPr>
        <w:t>万元,财政应返还额度</w:t>
      </w:r>
      <w:r>
        <w:rPr>
          <w:rFonts w:hint="eastAsia" w:ascii="仿宋_GB2312" w:hAnsi="黑体" w:cs="Times New Roman"/>
          <w:kern w:val="2"/>
          <w:sz w:val="32"/>
          <w:szCs w:val="32"/>
          <w:lang w:val="en-US" w:eastAsia="zh-CN" w:bidi="ar-SA"/>
        </w:rPr>
        <w:t>12.96</w:t>
      </w:r>
      <w:r>
        <w:rPr>
          <w:rFonts w:hint="eastAsia" w:ascii="仿宋_GB2312" w:hAnsi="黑体" w:eastAsia="仿宋_GB2312" w:cs="Times New Roman"/>
          <w:kern w:val="2"/>
          <w:sz w:val="32"/>
          <w:szCs w:val="32"/>
          <w:lang w:val="en-US" w:eastAsia="zh-CN" w:bidi="ar-SA"/>
        </w:rPr>
        <w:t>万元，无形资产4.39万元。</w:t>
      </w:r>
      <w:r>
        <w:rPr>
          <w:rFonts w:hint="eastAsia" w:ascii="仿宋_GB2312" w:hAnsi="黑体" w:cs="Times New Roman"/>
          <w:kern w:val="2"/>
          <w:sz w:val="32"/>
          <w:szCs w:val="32"/>
          <w:lang w:val="en-US" w:eastAsia="zh-CN" w:bidi="ar-SA"/>
        </w:rPr>
        <w:t>2020</w:t>
      </w:r>
      <w:r>
        <w:rPr>
          <w:rFonts w:hint="eastAsia" w:ascii="仿宋_GB2312" w:hAnsi="黑体" w:eastAsia="仿宋_GB2312" w:cs="Times New Roman"/>
          <w:kern w:val="2"/>
          <w:sz w:val="32"/>
          <w:szCs w:val="32"/>
          <w:lang w:val="en-US" w:eastAsia="zh-CN" w:bidi="ar-SA"/>
        </w:rPr>
        <w:t>年固定资产比上年增加</w:t>
      </w:r>
      <w:r>
        <w:rPr>
          <w:rFonts w:hint="eastAsia" w:ascii="仿宋_GB2312" w:hAnsi="黑体" w:cs="Times New Roman"/>
          <w:kern w:val="2"/>
          <w:sz w:val="32"/>
          <w:szCs w:val="32"/>
          <w:lang w:val="en-US" w:eastAsia="zh-CN" w:bidi="ar-SA"/>
        </w:rPr>
        <w:t>31.11</w:t>
      </w:r>
      <w:r>
        <w:rPr>
          <w:rFonts w:hint="eastAsia" w:ascii="仿宋_GB2312" w:hAnsi="黑体" w:eastAsia="仿宋_GB2312" w:cs="Times New Roman"/>
          <w:kern w:val="2"/>
          <w:sz w:val="32"/>
          <w:szCs w:val="32"/>
          <w:lang w:val="en-US" w:eastAsia="zh-CN" w:bidi="ar-SA"/>
        </w:rPr>
        <w:t>元，主要是根据政法转移支付资金要求购买部分政法装备，同时用县级安排资金购买</w:t>
      </w:r>
      <w:r>
        <w:rPr>
          <w:rFonts w:hint="eastAsia" w:ascii="仿宋_GB2312" w:hAnsi="黑体" w:cs="Times New Roman"/>
          <w:kern w:val="2"/>
          <w:sz w:val="32"/>
          <w:szCs w:val="32"/>
          <w:lang w:val="en-US" w:eastAsia="zh-CN" w:bidi="ar-SA"/>
        </w:rPr>
        <w:t>办公桌椅</w:t>
      </w:r>
      <w:r>
        <w:rPr>
          <w:rFonts w:hint="eastAsia" w:ascii="仿宋_GB2312" w:hAnsi="黑体" w:eastAsia="仿宋_GB2312" w:cs="Times New Roman"/>
          <w:kern w:val="2"/>
          <w:sz w:val="32"/>
          <w:szCs w:val="32"/>
          <w:lang w:val="en-US" w:eastAsia="zh-CN" w:bidi="ar-SA"/>
        </w:rPr>
        <w:t>等。</w:t>
      </w:r>
    </w:p>
    <w:p>
      <w:pPr>
        <w:adjustRightInd w:val="0"/>
        <w:spacing w:line="600" w:lineRule="exact"/>
        <w:ind w:firstLine="640"/>
        <w:rPr>
          <w:rFonts w:hint="eastAsia" w:ascii="仿宋_GB2312" w:hAnsi="黑体" w:eastAsia="仿宋_GB2312"/>
          <w:sz w:val="32"/>
          <w:szCs w:val="32"/>
        </w:rPr>
      </w:pPr>
    </w:p>
    <w:p>
      <w:pPr>
        <w:widowControl/>
        <w:spacing w:line="580" w:lineRule="exact"/>
        <w:ind w:firstLine="643" w:firstLineChars="200"/>
        <w:jc w:val="left"/>
        <w:rPr>
          <w:rFonts w:ascii="仿宋" w:hAnsi="仿宋" w:eastAsia="仿宋"/>
          <w:b/>
          <w:color w:val="000000"/>
          <w:kern w:val="0"/>
          <w:sz w:val="32"/>
          <w:szCs w:val="32"/>
          <w:highlight w:val="none"/>
        </w:rPr>
      </w:pPr>
      <w:r>
        <w:rPr>
          <w:rFonts w:hint="eastAsia" w:ascii="仿宋" w:hAnsi="仿宋" w:eastAsia="仿宋"/>
          <w:b/>
          <w:color w:val="000000"/>
          <w:kern w:val="0"/>
          <w:sz w:val="32"/>
          <w:szCs w:val="32"/>
          <w:highlight w:val="none"/>
        </w:rPr>
        <w:t>二、部门资金基本情况</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1.项目资金到位情况分析。</w:t>
      </w:r>
      <w:r>
        <w:rPr>
          <w:rFonts w:hint="eastAsia" w:ascii="仿宋_GB2312" w:hAnsi="黑体"/>
          <w:sz w:val="32"/>
          <w:szCs w:val="32"/>
          <w:lang w:val="en-US" w:eastAsia="zh-CN"/>
        </w:rPr>
        <w:t>2020</w:t>
      </w:r>
      <w:r>
        <w:rPr>
          <w:rFonts w:hint="eastAsia" w:ascii="仿宋_GB2312" w:hAnsi="黑体" w:eastAsia="仿宋_GB2312"/>
          <w:sz w:val="32"/>
          <w:szCs w:val="32"/>
          <w:lang w:val="en-US" w:eastAsia="zh-CN"/>
        </w:rPr>
        <w:t>年我局各项资金均按时拨付到位</w:t>
      </w:r>
      <w:r>
        <w:rPr>
          <w:rFonts w:hint="eastAsia" w:ascii="仿宋_GB2312" w:hAnsi="黑体" w:eastAsia="仿宋_GB2312"/>
          <w:sz w:val="32"/>
          <w:szCs w:val="32"/>
        </w:rPr>
        <w:t>。</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lang w:val="en-US" w:eastAsia="zh-CN"/>
        </w:rPr>
        <w:t>2.</w:t>
      </w:r>
      <w:r>
        <w:rPr>
          <w:rFonts w:hint="eastAsia" w:ascii="仿宋_GB2312" w:hAnsi="黑体" w:eastAsia="仿宋_GB2312"/>
          <w:sz w:val="32"/>
          <w:szCs w:val="32"/>
        </w:rPr>
        <w:t>项目资金执行情况分析。</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w:t>
      </w:r>
      <w:r>
        <w:rPr>
          <w:rFonts w:hint="eastAsia" w:ascii="仿宋_GB2312" w:hAnsi="黑体" w:eastAsia="仿宋_GB2312"/>
          <w:sz w:val="32"/>
          <w:szCs w:val="32"/>
          <w:lang w:val="en-US" w:eastAsia="zh-CN"/>
        </w:rPr>
        <w:t>1</w:t>
      </w:r>
      <w:r>
        <w:rPr>
          <w:rFonts w:hint="eastAsia" w:ascii="仿宋_GB2312" w:hAnsi="黑体" w:eastAsia="仿宋_GB2312"/>
          <w:sz w:val="32"/>
          <w:szCs w:val="32"/>
        </w:rPr>
        <w:t>）收入支出预算安排情况</w:t>
      </w:r>
    </w:p>
    <w:p>
      <w:pPr>
        <w:widowControl/>
        <w:spacing w:line="600" w:lineRule="exact"/>
        <w:ind w:firstLine="640" w:firstLineChars="200"/>
        <w:jc w:val="left"/>
        <w:rPr>
          <w:rFonts w:ascii="仿宋" w:hAnsi="仿宋" w:eastAsia="仿宋" w:cs="宋体"/>
          <w:color w:val="3D3D3D"/>
          <w:kern w:val="0"/>
          <w:sz w:val="32"/>
          <w:szCs w:val="32"/>
        </w:rPr>
      </w:pPr>
      <w:r>
        <w:rPr>
          <w:rFonts w:hint="eastAsia" w:ascii="仿宋" w:hAnsi="仿宋" w:eastAsia="仿宋" w:cs="宋体"/>
          <w:color w:val="000000"/>
          <w:kern w:val="0"/>
          <w:sz w:val="32"/>
          <w:szCs w:val="32"/>
        </w:rPr>
        <w:t>20</w:t>
      </w:r>
      <w:r>
        <w:rPr>
          <w:rFonts w:hint="eastAsia" w:ascii="仿宋" w:hAnsi="仿宋" w:eastAsia="仿宋" w:cs="宋体"/>
          <w:color w:val="000000"/>
          <w:kern w:val="0"/>
          <w:sz w:val="32"/>
          <w:szCs w:val="32"/>
          <w:lang w:val="en-US" w:eastAsia="zh-CN"/>
        </w:rPr>
        <w:t>20</w:t>
      </w:r>
      <w:r>
        <w:rPr>
          <w:rFonts w:hint="eastAsia" w:ascii="仿宋" w:hAnsi="仿宋" w:eastAsia="仿宋" w:cs="宋体"/>
          <w:color w:val="000000"/>
          <w:kern w:val="0"/>
          <w:sz w:val="32"/>
          <w:szCs w:val="32"/>
        </w:rPr>
        <w:t>年年初预算安排</w:t>
      </w:r>
      <w:r>
        <w:rPr>
          <w:rFonts w:hint="eastAsia" w:ascii="仿宋" w:hAnsi="仿宋" w:eastAsia="仿宋" w:cs="宋体"/>
          <w:color w:val="000000"/>
          <w:kern w:val="0"/>
          <w:sz w:val="32"/>
          <w:szCs w:val="32"/>
          <w:lang w:val="en-US" w:eastAsia="zh-CN"/>
        </w:rPr>
        <w:t>689.89</w:t>
      </w:r>
      <w:r>
        <w:rPr>
          <w:rFonts w:hint="eastAsia" w:ascii="仿宋" w:hAnsi="仿宋" w:eastAsia="仿宋" w:cs="宋体"/>
          <w:color w:val="000000"/>
          <w:kern w:val="0"/>
          <w:sz w:val="32"/>
          <w:szCs w:val="32"/>
        </w:rPr>
        <w:t>万元，实际收入</w:t>
      </w:r>
      <w:r>
        <w:rPr>
          <w:rFonts w:hint="eastAsia" w:ascii="仿宋" w:hAnsi="仿宋" w:eastAsia="仿宋" w:cs="宋体"/>
          <w:color w:val="000000"/>
          <w:kern w:val="0"/>
          <w:sz w:val="32"/>
          <w:szCs w:val="32"/>
          <w:lang w:val="en-US" w:eastAsia="zh-CN"/>
        </w:rPr>
        <w:t>711.57</w:t>
      </w:r>
      <w:r>
        <w:rPr>
          <w:rFonts w:hint="eastAsia" w:ascii="仿宋" w:hAnsi="仿宋" w:eastAsia="仿宋" w:cs="宋体"/>
          <w:color w:val="000000"/>
          <w:kern w:val="0"/>
          <w:sz w:val="32"/>
          <w:szCs w:val="32"/>
        </w:rPr>
        <w:t>万元。增加</w:t>
      </w:r>
      <w:r>
        <w:rPr>
          <w:rFonts w:hint="eastAsia" w:ascii="仿宋" w:hAnsi="仿宋" w:eastAsia="仿宋" w:cs="宋体"/>
          <w:color w:val="000000"/>
          <w:kern w:val="0"/>
          <w:sz w:val="32"/>
          <w:szCs w:val="32"/>
          <w:lang w:val="en-US" w:eastAsia="zh-CN"/>
        </w:rPr>
        <w:t>21.68</w:t>
      </w:r>
      <w:r>
        <w:rPr>
          <w:rFonts w:hint="eastAsia" w:ascii="仿宋" w:hAnsi="仿宋" w:eastAsia="仿宋" w:cs="宋体"/>
          <w:color w:val="000000"/>
          <w:kern w:val="0"/>
          <w:sz w:val="32"/>
          <w:szCs w:val="32"/>
        </w:rPr>
        <w:t>万元。</w:t>
      </w:r>
    </w:p>
    <w:p>
      <w:pPr>
        <w:adjustRightInd w:val="0"/>
        <w:spacing w:line="600" w:lineRule="exact"/>
        <w:ind w:left="636" w:leftChars="212" w:firstLine="38" w:firstLineChars="12"/>
        <w:rPr>
          <w:rFonts w:hint="eastAsia" w:ascii="仿宋_GB2312" w:hAnsi="黑体" w:eastAsia="仿宋_GB2312"/>
          <w:sz w:val="32"/>
          <w:szCs w:val="32"/>
        </w:rPr>
      </w:pPr>
      <w:r>
        <w:rPr>
          <w:rFonts w:hint="eastAsia" w:ascii="仿宋_GB2312" w:hAnsi="黑体" w:eastAsia="仿宋_GB2312"/>
          <w:sz w:val="32"/>
          <w:szCs w:val="32"/>
        </w:rPr>
        <w:t>（</w:t>
      </w:r>
      <w:r>
        <w:rPr>
          <w:rFonts w:hint="eastAsia" w:ascii="仿宋_GB2312" w:hAnsi="黑体" w:eastAsia="仿宋_GB2312"/>
          <w:sz w:val="32"/>
          <w:szCs w:val="32"/>
          <w:lang w:val="en-US" w:eastAsia="zh-CN"/>
        </w:rPr>
        <w:t>2</w:t>
      </w:r>
      <w:r>
        <w:rPr>
          <w:rFonts w:hint="eastAsia" w:ascii="仿宋_GB2312" w:hAnsi="黑体" w:eastAsia="仿宋_GB2312"/>
          <w:sz w:val="32"/>
          <w:szCs w:val="32"/>
        </w:rPr>
        <w:t>）收入支出执行情况</w:t>
      </w:r>
      <w:r>
        <w:rPr>
          <w:rFonts w:hint="eastAsia" w:ascii="仿宋_GB2312" w:hAnsi="黑体" w:eastAsia="仿宋_GB2312"/>
          <w:sz w:val="32"/>
          <w:szCs w:val="32"/>
        </w:rPr>
        <w:br w:type="textWrapping"/>
      </w:r>
      <w:r>
        <w:rPr>
          <w:rFonts w:hint="eastAsia" w:ascii="仿宋_GB2312" w:hAnsi="黑体" w:eastAsia="仿宋_GB2312"/>
          <w:sz w:val="32"/>
          <w:szCs w:val="32"/>
        </w:rPr>
        <w:t>①收入支出与预算对比分析</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本单位支出基本情况：201</w:t>
      </w:r>
      <w:r>
        <w:rPr>
          <w:rFonts w:hint="eastAsia" w:ascii="仿宋_GB2312" w:hAnsi="黑体" w:eastAsia="仿宋_GB2312"/>
          <w:sz w:val="32"/>
          <w:szCs w:val="32"/>
          <w:lang w:val="en-US" w:eastAsia="zh-CN"/>
        </w:rPr>
        <w:t>9</w:t>
      </w:r>
      <w:r>
        <w:rPr>
          <w:rFonts w:hint="eastAsia" w:ascii="仿宋_GB2312" w:hAnsi="黑体" w:eastAsia="仿宋_GB2312"/>
          <w:sz w:val="32"/>
          <w:szCs w:val="32"/>
        </w:rPr>
        <w:t>年支出数为</w:t>
      </w:r>
      <w:r>
        <w:rPr>
          <w:rFonts w:hint="eastAsia" w:ascii="仿宋_GB2312" w:hAnsi="黑体" w:eastAsia="仿宋_GB2312"/>
          <w:sz w:val="32"/>
          <w:szCs w:val="32"/>
          <w:lang w:val="en-US" w:eastAsia="zh-CN"/>
        </w:rPr>
        <w:t>599.39</w:t>
      </w:r>
      <w:r>
        <w:rPr>
          <w:rFonts w:hint="eastAsia" w:ascii="仿宋_GB2312" w:hAnsi="黑体" w:eastAsia="仿宋_GB2312"/>
          <w:sz w:val="32"/>
          <w:szCs w:val="32"/>
        </w:rPr>
        <w:t>万元，</w:t>
      </w:r>
      <w:r>
        <w:rPr>
          <w:rFonts w:hint="eastAsia" w:ascii="仿宋_GB2312" w:hAnsi="黑体" w:eastAsia="仿宋_GB2312"/>
          <w:sz w:val="32"/>
          <w:szCs w:val="32"/>
          <w:lang w:val="en-US" w:eastAsia="zh-CN"/>
        </w:rPr>
        <w:t>2020</w:t>
      </w:r>
      <w:r>
        <w:rPr>
          <w:rFonts w:hint="eastAsia" w:ascii="仿宋_GB2312" w:hAnsi="黑体" w:eastAsia="仿宋_GB2312"/>
          <w:sz w:val="32"/>
          <w:szCs w:val="32"/>
        </w:rPr>
        <w:t>年支出数为</w:t>
      </w:r>
      <w:r>
        <w:rPr>
          <w:rFonts w:hint="eastAsia" w:ascii="仿宋_GB2312" w:hAnsi="黑体" w:eastAsia="仿宋_GB2312"/>
          <w:sz w:val="32"/>
          <w:szCs w:val="32"/>
          <w:lang w:val="en-US" w:eastAsia="zh-CN"/>
        </w:rPr>
        <w:t>715.19</w:t>
      </w:r>
      <w:r>
        <w:rPr>
          <w:rFonts w:hint="eastAsia" w:ascii="仿宋_GB2312" w:hAnsi="黑体" w:eastAsia="仿宋_GB2312"/>
          <w:sz w:val="32"/>
          <w:szCs w:val="32"/>
        </w:rPr>
        <w:t>万元，比上年增加了</w:t>
      </w:r>
      <w:r>
        <w:rPr>
          <w:rFonts w:hint="eastAsia" w:ascii="仿宋_GB2312" w:hAnsi="黑体" w:eastAsia="仿宋_GB2312"/>
          <w:sz w:val="32"/>
          <w:szCs w:val="32"/>
          <w:lang w:val="en-US" w:eastAsia="zh-CN"/>
        </w:rPr>
        <w:t>115.8</w:t>
      </w:r>
      <w:r>
        <w:rPr>
          <w:rFonts w:hint="eastAsia" w:ascii="仿宋_GB2312" w:hAnsi="黑体" w:eastAsia="仿宋_GB2312"/>
          <w:sz w:val="32"/>
          <w:szCs w:val="32"/>
        </w:rPr>
        <w:t>万元，主要原因将上年结转资金支出，年中追加部分</w:t>
      </w:r>
      <w:r>
        <w:rPr>
          <w:rFonts w:hint="eastAsia" w:ascii="仿宋_GB2312" w:hAnsi="黑体" w:eastAsia="仿宋_GB2312"/>
          <w:sz w:val="32"/>
          <w:szCs w:val="32"/>
          <w:lang w:eastAsia="zh-CN"/>
        </w:rPr>
        <w:t>中央政法转移支付</w:t>
      </w:r>
      <w:r>
        <w:rPr>
          <w:rFonts w:hint="eastAsia" w:ascii="仿宋_GB2312" w:hAnsi="黑体" w:eastAsia="仿宋_GB2312"/>
          <w:sz w:val="32"/>
          <w:szCs w:val="32"/>
        </w:rPr>
        <w:t>资金，</w:t>
      </w:r>
      <w:r>
        <w:rPr>
          <w:rFonts w:hint="eastAsia" w:ascii="仿宋_GB2312" w:hAnsi="黑体" w:eastAsia="仿宋_GB2312"/>
          <w:sz w:val="32"/>
          <w:szCs w:val="32"/>
          <w:lang w:eastAsia="zh-CN"/>
        </w:rPr>
        <w:t>新增人员</w:t>
      </w:r>
      <w:r>
        <w:rPr>
          <w:rFonts w:hint="eastAsia" w:ascii="仿宋_GB2312" w:hAnsi="黑体" w:eastAsia="仿宋_GB2312"/>
          <w:sz w:val="32"/>
          <w:szCs w:val="32"/>
          <w:lang w:val="en-US" w:eastAsia="zh-CN"/>
        </w:rPr>
        <w:t>1人，增加政府法律顾问费等项目支出</w:t>
      </w:r>
      <w:r>
        <w:rPr>
          <w:rFonts w:hint="eastAsia" w:ascii="仿宋_GB2312" w:hAnsi="黑体" w:eastAsia="仿宋_GB2312"/>
          <w:sz w:val="32"/>
          <w:szCs w:val="32"/>
        </w:rPr>
        <w:t>。</w:t>
      </w:r>
    </w:p>
    <w:p>
      <w:pPr>
        <w:adjustRightInd w:val="0"/>
        <w:spacing w:line="600" w:lineRule="exact"/>
        <w:ind w:firstLine="640"/>
        <w:rPr>
          <w:rFonts w:hint="eastAsia" w:ascii="仿宋_GB2312" w:hAnsi="黑体" w:eastAsia="仿宋_GB2312"/>
          <w:sz w:val="32"/>
          <w:szCs w:val="32"/>
          <w:lang w:val="en-US" w:eastAsia="zh-CN"/>
        </w:rPr>
      </w:pPr>
      <w:r>
        <w:rPr>
          <w:rFonts w:hint="eastAsia" w:ascii="仿宋_GB2312" w:hAnsi="黑体" w:eastAsia="仿宋_GB2312"/>
          <w:sz w:val="32"/>
          <w:szCs w:val="32"/>
        </w:rPr>
        <w:t xml:space="preserve"> ②收入支出结构分析</w:t>
      </w:r>
      <w:r>
        <w:rPr>
          <w:rFonts w:hint="eastAsia" w:ascii="仿宋_GB2312" w:hAnsi="黑体" w:eastAsia="仿宋_GB2312"/>
          <w:sz w:val="32"/>
          <w:szCs w:val="32"/>
        </w:rPr>
        <w:br w:type="textWrapping"/>
      </w:r>
      <w:r>
        <w:rPr>
          <w:rFonts w:hint="eastAsia" w:ascii="仿宋_GB2312" w:hAnsi="黑体" w:eastAsia="仿宋_GB2312"/>
          <w:sz w:val="32"/>
          <w:szCs w:val="32"/>
        </w:rPr>
        <w:t xml:space="preserve">    本单位收入基本情况：20</w:t>
      </w:r>
      <w:r>
        <w:rPr>
          <w:rFonts w:hint="eastAsia" w:ascii="仿宋_GB2312" w:hAnsi="黑体" w:eastAsia="仿宋_GB2312"/>
          <w:sz w:val="32"/>
          <w:szCs w:val="32"/>
          <w:lang w:val="en-US" w:eastAsia="zh-CN"/>
        </w:rPr>
        <w:t>20</w:t>
      </w:r>
      <w:r>
        <w:rPr>
          <w:rFonts w:hint="eastAsia" w:ascii="仿宋_GB2312" w:hAnsi="黑体" w:eastAsia="仿宋_GB2312"/>
          <w:sz w:val="32"/>
          <w:szCs w:val="32"/>
        </w:rPr>
        <w:t>年总收入为</w:t>
      </w:r>
      <w:r>
        <w:rPr>
          <w:rFonts w:hint="eastAsia" w:ascii="仿宋_GB2312" w:hAnsi="黑体" w:eastAsia="仿宋_GB2312"/>
          <w:sz w:val="32"/>
          <w:szCs w:val="32"/>
          <w:lang w:val="en-US" w:eastAsia="zh-CN"/>
        </w:rPr>
        <w:t>728.14</w:t>
      </w:r>
      <w:r>
        <w:rPr>
          <w:rFonts w:hint="eastAsia" w:ascii="仿宋_GB2312" w:hAnsi="黑体" w:eastAsia="仿宋_GB2312"/>
          <w:sz w:val="32"/>
          <w:szCs w:val="32"/>
        </w:rPr>
        <w:t>万元（其中上年结转</w:t>
      </w:r>
      <w:r>
        <w:rPr>
          <w:rFonts w:hint="eastAsia" w:ascii="仿宋_GB2312" w:hAnsi="黑体" w:eastAsia="仿宋_GB2312"/>
          <w:sz w:val="32"/>
          <w:szCs w:val="32"/>
          <w:lang w:val="en-US" w:eastAsia="zh-CN"/>
        </w:rPr>
        <w:t>16.57</w:t>
      </w:r>
      <w:r>
        <w:rPr>
          <w:rFonts w:hint="eastAsia" w:ascii="仿宋_GB2312" w:hAnsi="黑体" w:eastAsia="仿宋_GB2312"/>
          <w:sz w:val="32"/>
          <w:szCs w:val="32"/>
        </w:rPr>
        <w:t>万元、</w:t>
      </w:r>
      <w:r>
        <w:rPr>
          <w:rFonts w:hint="eastAsia" w:ascii="仿宋_GB2312" w:hAnsi="黑体" w:eastAsia="仿宋_GB2312"/>
          <w:sz w:val="32"/>
          <w:szCs w:val="32"/>
          <w:lang w:eastAsia="zh-CN"/>
        </w:rPr>
        <w:t>公共安全</w:t>
      </w:r>
      <w:r>
        <w:rPr>
          <w:rFonts w:hint="eastAsia" w:ascii="仿宋_GB2312" w:hAnsi="黑体" w:eastAsia="仿宋_GB2312"/>
          <w:sz w:val="32"/>
          <w:szCs w:val="32"/>
          <w:lang w:val="en-US" w:eastAsia="zh-CN"/>
        </w:rPr>
        <w:t>604.72</w:t>
      </w:r>
      <w:r>
        <w:rPr>
          <w:rFonts w:hint="eastAsia" w:ascii="仿宋_GB2312" w:hAnsi="黑体" w:eastAsia="仿宋_GB2312"/>
          <w:sz w:val="32"/>
          <w:szCs w:val="32"/>
        </w:rPr>
        <w:t>万元、</w:t>
      </w:r>
      <w:r>
        <w:rPr>
          <w:rFonts w:hint="eastAsia" w:ascii="仿宋_GB2312" w:hAnsi="黑体" w:eastAsia="仿宋_GB2312"/>
          <w:sz w:val="32"/>
          <w:szCs w:val="32"/>
          <w:lang w:eastAsia="zh-CN"/>
        </w:rPr>
        <w:t>社会保障和就业</w:t>
      </w:r>
      <w:r>
        <w:rPr>
          <w:rFonts w:hint="eastAsia" w:ascii="仿宋_GB2312" w:hAnsi="黑体" w:eastAsia="仿宋_GB2312"/>
          <w:sz w:val="32"/>
          <w:szCs w:val="32"/>
          <w:lang w:val="en-US" w:eastAsia="zh-CN"/>
        </w:rPr>
        <w:t>66.46</w:t>
      </w:r>
      <w:r>
        <w:rPr>
          <w:rFonts w:hint="eastAsia" w:ascii="仿宋_GB2312" w:hAnsi="黑体" w:eastAsia="仿宋_GB2312"/>
          <w:sz w:val="32"/>
          <w:szCs w:val="32"/>
        </w:rPr>
        <w:t>万元、</w:t>
      </w:r>
      <w:r>
        <w:rPr>
          <w:rFonts w:hint="eastAsia" w:ascii="仿宋_GB2312" w:hAnsi="黑体" w:eastAsia="仿宋_GB2312"/>
          <w:sz w:val="32"/>
          <w:szCs w:val="32"/>
          <w:lang w:eastAsia="zh-CN"/>
        </w:rPr>
        <w:t>卫生健康</w:t>
      </w:r>
      <w:r>
        <w:rPr>
          <w:rFonts w:hint="eastAsia" w:ascii="仿宋_GB2312" w:hAnsi="黑体" w:eastAsia="仿宋_GB2312"/>
          <w:sz w:val="32"/>
          <w:szCs w:val="32"/>
          <w:lang w:val="en-US" w:eastAsia="zh-CN"/>
        </w:rPr>
        <w:t>14.76万元、</w:t>
      </w:r>
      <w:r>
        <w:rPr>
          <w:rFonts w:hint="eastAsia" w:ascii="仿宋_GB2312" w:hAnsi="黑体" w:eastAsia="仿宋_GB2312"/>
          <w:sz w:val="32"/>
          <w:szCs w:val="32"/>
          <w:lang w:eastAsia="zh-CN"/>
        </w:rPr>
        <w:t>住房保障</w:t>
      </w:r>
      <w:r>
        <w:rPr>
          <w:rFonts w:hint="eastAsia" w:ascii="仿宋_GB2312" w:hAnsi="黑体" w:eastAsia="仿宋_GB2312"/>
          <w:sz w:val="32"/>
          <w:szCs w:val="32"/>
          <w:lang w:val="en-US" w:eastAsia="zh-CN"/>
        </w:rPr>
        <w:t>25.63万元</w:t>
      </w:r>
      <w:r>
        <w:rPr>
          <w:rFonts w:hint="eastAsia" w:ascii="仿宋_GB2312" w:hAnsi="黑体" w:eastAsia="仿宋_GB2312"/>
          <w:sz w:val="32"/>
          <w:szCs w:val="32"/>
        </w:rPr>
        <w:t>），全部为公共财政预算拨款。</w:t>
      </w:r>
      <w:r>
        <w:rPr>
          <w:rFonts w:hint="eastAsia" w:ascii="仿宋_GB2312" w:hAnsi="黑体" w:eastAsia="仿宋_GB2312"/>
          <w:sz w:val="32"/>
          <w:szCs w:val="32"/>
        </w:rPr>
        <w:br w:type="textWrapping"/>
      </w:r>
      <w:r>
        <w:rPr>
          <w:rFonts w:hint="eastAsia" w:ascii="仿宋_GB2312" w:hAnsi="黑体"/>
          <w:sz w:val="32"/>
          <w:szCs w:val="32"/>
          <w:lang w:val="en-US" w:eastAsia="zh-CN"/>
        </w:rPr>
        <w:t xml:space="preserve">    </w:t>
      </w:r>
      <w:r>
        <w:rPr>
          <w:rFonts w:hint="eastAsia" w:ascii="仿宋_GB2312" w:hAnsi="黑体" w:eastAsia="仿宋_GB2312"/>
          <w:sz w:val="32"/>
          <w:szCs w:val="32"/>
          <w:lang w:val="en-US" w:eastAsia="zh-CN"/>
        </w:rPr>
        <w:t>本单位支出基本情况：2020年总支出为715.19万元，其中，上年结转16.57万元，较上年增加7.08万元，主要是部分项目支出结余。公共安全支出591.77万元，比上年增加61.07万元，主要是公务交通补贴调整和人员增加、工资调整等原因。社区保障和就业支出66.46万元，比上年增加28.32万元，主要原因是基数调整和人员增加。卫生和健康支出14.76万元，比上年增加2.63万元，因为基数调整和人员增加。住房和保障支出25.63万元，较上年增加7.21万元，因为基数调整和人员增加。</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lang w:val="en-US" w:eastAsia="zh-CN"/>
        </w:rPr>
        <w:t>3.</w:t>
      </w:r>
      <w:r>
        <w:rPr>
          <w:rFonts w:hint="eastAsia" w:ascii="仿宋_GB2312" w:hAnsi="黑体" w:eastAsia="仿宋_GB2312"/>
          <w:sz w:val="32"/>
          <w:szCs w:val="32"/>
        </w:rPr>
        <w:t>项目资金管理情况分析。</w:t>
      </w:r>
      <w:r>
        <w:rPr>
          <w:rFonts w:hint="eastAsia" w:ascii="仿宋_GB2312" w:hAnsi="黑体" w:eastAsia="仿宋_GB2312"/>
          <w:sz w:val="32"/>
          <w:szCs w:val="32"/>
          <w:lang w:eastAsia="zh-CN"/>
        </w:rPr>
        <w:t>对各项专项资金在使用中都能够按照有关文件和财政部门及我局有关财务管理制度要求使用，做到专款专用，不存在超范围支出和资产流失情况</w:t>
      </w:r>
      <w:r>
        <w:rPr>
          <w:rFonts w:hint="eastAsia" w:ascii="仿宋_GB2312" w:hAnsi="黑体" w:eastAsia="仿宋_GB2312"/>
          <w:sz w:val="32"/>
          <w:szCs w:val="32"/>
        </w:rPr>
        <w:t>。</w:t>
      </w:r>
    </w:p>
    <w:p>
      <w:pPr>
        <w:widowControl/>
        <w:spacing w:line="580" w:lineRule="exact"/>
        <w:ind w:firstLine="643" w:firstLineChars="200"/>
        <w:jc w:val="left"/>
        <w:rPr>
          <w:rFonts w:ascii="仿宋" w:hAnsi="仿宋" w:eastAsia="仿宋"/>
          <w:b/>
          <w:color w:val="000000"/>
          <w:kern w:val="0"/>
          <w:sz w:val="32"/>
          <w:szCs w:val="32"/>
        </w:rPr>
      </w:pPr>
      <w:r>
        <w:rPr>
          <w:rFonts w:hint="eastAsia" w:ascii="仿宋" w:hAnsi="仿宋" w:eastAsia="仿宋"/>
          <w:b/>
          <w:color w:val="000000"/>
          <w:kern w:val="0"/>
          <w:sz w:val="32"/>
          <w:szCs w:val="32"/>
        </w:rPr>
        <w:t>三、</w:t>
      </w:r>
      <w:r>
        <w:rPr>
          <w:rFonts w:ascii="仿宋" w:hAnsi="仿宋" w:eastAsia="仿宋"/>
          <w:b/>
          <w:color w:val="000000"/>
          <w:kern w:val="0"/>
          <w:sz w:val="32"/>
          <w:szCs w:val="32"/>
        </w:rPr>
        <w:t>当年取得的主要事业成效</w:t>
      </w:r>
    </w:p>
    <w:p>
      <w:pPr>
        <w:keepNext w:val="0"/>
        <w:keepLines w:val="0"/>
        <w:pageBreakBefore w:val="0"/>
        <w:numPr>
          <w:ilvl w:val="0"/>
          <w:numId w:val="0"/>
        </w:numPr>
        <w:kinsoku/>
        <w:overflowPunct/>
        <w:topLinePunct w:val="0"/>
        <w:autoSpaceDE/>
        <w:autoSpaceDN/>
        <w:bidi w:val="0"/>
        <w:spacing w:after="0" w:line="600" w:lineRule="exact"/>
        <w:ind w:firstLine="640" w:firstLineChars="200"/>
        <w:textAlignment w:val="auto"/>
        <w:rPr>
          <w:rFonts w:hint="default" w:ascii="Times New Roman" w:hAnsi="Times New Roman" w:eastAsia="仿宋_GB2312" w:cs="Times New Roman"/>
          <w:b/>
          <w:bCs/>
          <w:kern w:val="21"/>
          <w:sz w:val="32"/>
          <w:szCs w:val="32"/>
          <w:lang w:val="en-US" w:eastAsia="zh-CN"/>
        </w:rPr>
      </w:pPr>
      <w:r>
        <w:rPr>
          <w:rFonts w:hint="eastAsia" w:ascii="仿宋" w:hAnsi="仿宋" w:eastAsia="仿宋" w:cs="仿宋"/>
          <w:sz w:val="32"/>
          <w:szCs w:val="32"/>
          <w:lang w:val="en-US" w:eastAsia="zh-CN"/>
        </w:rPr>
        <w:t>2020年，我局</w:t>
      </w:r>
      <w:r>
        <w:rPr>
          <w:rFonts w:hint="eastAsia" w:ascii="仿宋" w:hAnsi="仿宋" w:eastAsia="仿宋" w:cs="仿宋"/>
          <w:sz w:val="32"/>
          <w:szCs w:val="32"/>
        </w:rPr>
        <w:t>坚持以习近平新时代中国特色社会主义思想为指导，</w:t>
      </w:r>
      <w:r>
        <w:rPr>
          <w:rFonts w:hint="eastAsia" w:ascii="仿宋" w:hAnsi="仿宋" w:eastAsia="仿宋" w:cs="仿宋"/>
          <w:sz w:val="32"/>
          <w:szCs w:val="32"/>
          <w:lang w:val="en-US" w:eastAsia="zh-CN"/>
        </w:rPr>
        <w:t>全面贯彻党的十九大和十九届二中、三中、四中、五中全会精神，紧扣县委、县政府中心工作和上级司法行政部门工作部署</w:t>
      </w:r>
      <w:r>
        <w:rPr>
          <w:rFonts w:hint="eastAsia" w:ascii="仿宋" w:hAnsi="仿宋" w:eastAsia="仿宋" w:cs="仿宋"/>
          <w:sz w:val="32"/>
          <w:szCs w:val="32"/>
        </w:rPr>
        <w:t>,</w:t>
      </w:r>
      <w:r>
        <w:rPr>
          <w:rFonts w:hint="eastAsia" w:ascii="仿宋" w:hAnsi="仿宋" w:eastAsia="仿宋" w:cs="仿宋"/>
          <w:sz w:val="32"/>
          <w:szCs w:val="32"/>
          <w:lang w:val="en-US" w:eastAsia="zh-CN"/>
        </w:rPr>
        <w:t>扎实工作、锐意进取，各项工作取得明显成效</w:t>
      </w:r>
      <w:r>
        <w:rPr>
          <w:rFonts w:hint="eastAsia" w:ascii="仿宋" w:hAnsi="仿宋" w:eastAsia="仿宋" w:cs="仿宋"/>
          <w:sz w:val="32"/>
          <w:szCs w:val="32"/>
          <w:lang w:eastAsia="zh-CN"/>
        </w:rPr>
        <w:t>。</w:t>
      </w:r>
      <w:r>
        <w:rPr>
          <w:rFonts w:hint="eastAsia" w:ascii="仿宋" w:hAnsi="仿宋" w:eastAsia="仿宋" w:cs="仿宋"/>
          <w:b w:val="0"/>
          <w:bCs w:val="0"/>
          <w:color w:val="auto"/>
          <w:kern w:val="0"/>
          <w:sz w:val="32"/>
          <w:szCs w:val="32"/>
          <w:lang w:val="en-US" w:eastAsia="zh-CN" w:bidi="ar"/>
        </w:rPr>
        <w:t>在各项考核指标中，</w:t>
      </w:r>
      <w:r>
        <w:rPr>
          <w:rFonts w:hint="eastAsia" w:ascii="仿宋" w:hAnsi="仿宋" w:eastAsia="仿宋" w:cs="仿宋"/>
          <w:b w:val="0"/>
          <w:bCs w:val="0"/>
          <w:color w:val="auto"/>
          <w:sz w:val="32"/>
          <w:szCs w:val="32"/>
        </w:rPr>
        <w:t>我</w:t>
      </w:r>
      <w:r>
        <w:rPr>
          <w:rFonts w:hint="eastAsia" w:ascii="仿宋" w:hAnsi="仿宋" w:eastAsia="仿宋" w:cs="仿宋"/>
          <w:b w:val="0"/>
          <w:bCs w:val="0"/>
          <w:color w:val="auto"/>
          <w:sz w:val="32"/>
          <w:szCs w:val="32"/>
          <w:lang w:val="en-US" w:eastAsia="zh-CN"/>
        </w:rPr>
        <w:t>局承担的依法行政、法治建设工作上半年考核全市第</w:t>
      </w:r>
      <w:r>
        <w:rPr>
          <w:rFonts w:hint="eastAsia" w:eastAsia="仿宋" w:asciiTheme="minorHAnsi" w:hAnsiTheme="minorHAnsi" w:cstheme="minorBidi"/>
          <w:color w:val="auto"/>
          <w:kern w:val="2"/>
          <w:sz w:val="32"/>
          <w:szCs w:val="32"/>
          <w:lang w:val="en-US" w:eastAsia="zh-CN" w:bidi="ar-SA"/>
        </w:rPr>
        <w:t>1</w:t>
      </w:r>
      <w:r>
        <w:rPr>
          <w:rFonts w:hint="eastAsia" w:ascii="仿宋" w:hAnsi="仿宋" w:eastAsia="仿宋" w:cs="仿宋"/>
          <w:b w:val="0"/>
          <w:bCs w:val="0"/>
          <w:color w:val="auto"/>
          <w:sz w:val="32"/>
          <w:szCs w:val="32"/>
          <w:lang w:val="en-US" w:eastAsia="zh-CN"/>
        </w:rPr>
        <w:t>名；普法、公证、创建</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无证明城市</w:t>
      </w:r>
      <w:r>
        <w:rPr>
          <w:rFonts w:hint="eastAsia" w:ascii="仿宋" w:hAnsi="仿宋" w:eastAsia="仿宋" w:cs="仿宋"/>
          <w:b w:val="0"/>
          <w:bCs w:val="0"/>
          <w:color w:val="auto"/>
          <w:sz w:val="32"/>
          <w:szCs w:val="32"/>
          <w:lang w:eastAsia="zh-CN"/>
        </w:rPr>
        <w:t>”</w:t>
      </w:r>
      <w:r>
        <w:rPr>
          <w:rFonts w:hint="eastAsia" w:ascii="仿宋" w:hAnsi="仿宋" w:eastAsia="仿宋" w:cs="仿宋"/>
          <w:b w:val="0"/>
          <w:bCs w:val="0"/>
          <w:color w:val="auto"/>
          <w:sz w:val="32"/>
          <w:szCs w:val="32"/>
          <w:lang w:val="en-US" w:eastAsia="zh-CN"/>
        </w:rPr>
        <w:t>、人民调解、司法鉴定工作连续</w:t>
      </w:r>
      <w:r>
        <w:rPr>
          <w:rFonts w:hint="eastAsia" w:eastAsia="仿宋" w:asciiTheme="minorHAnsi" w:hAnsiTheme="minorHAnsi" w:cstheme="minorBidi"/>
          <w:color w:val="auto"/>
          <w:kern w:val="2"/>
          <w:sz w:val="32"/>
          <w:szCs w:val="32"/>
          <w:lang w:val="en-US" w:eastAsia="zh-CN" w:bidi="ar-SA"/>
        </w:rPr>
        <w:t>6</w:t>
      </w:r>
      <w:r>
        <w:rPr>
          <w:rFonts w:hint="eastAsia" w:ascii="仿宋" w:hAnsi="仿宋" w:eastAsia="仿宋" w:cs="仿宋"/>
          <w:b w:val="0"/>
          <w:bCs w:val="0"/>
          <w:color w:val="auto"/>
          <w:sz w:val="32"/>
          <w:szCs w:val="32"/>
          <w:lang w:val="en-US" w:eastAsia="zh-CN"/>
        </w:rPr>
        <w:t>个月全市前</w:t>
      </w:r>
      <w:r>
        <w:rPr>
          <w:rFonts w:hint="eastAsia" w:eastAsia="仿宋" w:asciiTheme="minorHAnsi" w:hAnsiTheme="minorHAnsi" w:cstheme="minorBidi"/>
          <w:color w:val="auto"/>
          <w:kern w:val="2"/>
          <w:sz w:val="32"/>
          <w:szCs w:val="32"/>
          <w:lang w:val="en-US" w:eastAsia="zh-CN" w:bidi="ar-SA"/>
        </w:rPr>
        <w:t>3</w:t>
      </w:r>
      <w:r>
        <w:rPr>
          <w:rFonts w:hint="eastAsia" w:ascii="仿宋" w:hAnsi="仿宋" w:eastAsia="仿宋" w:cs="仿宋"/>
          <w:b w:val="0"/>
          <w:bCs w:val="0"/>
          <w:color w:val="auto"/>
          <w:sz w:val="32"/>
          <w:szCs w:val="32"/>
          <w:lang w:val="en-US" w:eastAsia="zh-CN"/>
        </w:rPr>
        <w:t>名；社区矫正连续</w:t>
      </w:r>
      <w:r>
        <w:rPr>
          <w:rFonts w:hint="eastAsia" w:eastAsia="仿宋" w:asciiTheme="minorHAnsi" w:hAnsiTheme="minorHAnsi" w:cstheme="minorBidi"/>
          <w:color w:val="auto"/>
          <w:kern w:val="2"/>
          <w:sz w:val="32"/>
          <w:szCs w:val="32"/>
          <w:lang w:val="en-US" w:eastAsia="zh-CN" w:bidi="ar-SA"/>
        </w:rPr>
        <w:t>2</w:t>
      </w:r>
      <w:r>
        <w:rPr>
          <w:rFonts w:hint="eastAsia" w:ascii="仿宋" w:hAnsi="仿宋" w:eastAsia="仿宋" w:cs="仿宋"/>
          <w:b w:val="0"/>
          <w:bCs w:val="0"/>
          <w:color w:val="auto"/>
          <w:sz w:val="32"/>
          <w:szCs w:val="32"/>
          <w:lang w:val="en-US" w:eastAsia="zh-CN"/>
        </w:rPr>
        <w:t>个月全市前</w:t>
      </w:r>
      <w:r>
        <w:rPr>
          <w:rFonts w:hint="eastAsia" w:eastAsia="仿宋" w:asciiTheme="minorHAnsi" w:hAnsiTheme="minorHAnsi" w:cstheme="minorBidi"/>
          <w:color w:val="auto"/>
          <w:kern w:val="2"/>
          <w:sz w:val="32"/>
          <w:szCs w:val="32"/>
          <w:lang w:val="en-US" w:eastAsia="zh-CN" w:bidi="ar-SA"/>
        </w:rPr>
        <w:t>2</w:t>
      </w:r>
      <w:r>
        <w:rPr>
          <w:rFonts w:hint="eastAsia" w:ascii="仿宋" w:hAnsi="仿宋" w:eastAsia="仿宋" w:cs="仿宋"/>
          <w:b w:val="0"/>
          <w:bCs w:val="0"/>
          <w:color w:val="auto"/>
          <w:sz w:val="32"/>
          <w:szCs w:val="32"/>
          <w:lang w:val="en-US" w:eastAsia="zh-CN"/>
        </w:rPr>
        <w:t>名。</w:t>
      </w:r>
    </w:p>
    <w:p>
      <w:pPr>
        <w:keepNext w:val="0"/>
        <w:keepLines w:val="0"/>
        <w:pageBreakBefore w:val="0"/>
        <w:numPr>
          <w:ilvl w:val="0"/>
          <w:numId w:val="0"/>
        </w:numPr>
        <w:kinsoku/>
        <w:overflowPunct/>
        <w:topLinePunct w:val="0"/>
        <w:autoSpaceDE/>
        <w:autoSpaceDN/>
        <w:bidi w:val="0"/>
        <w:spacing w:after="0" w:line="60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1、</w:t>
      </w:r>
      <w:r>
        <w:rPr>
          <w:rFonts w:hint="eastAsia" w:ascii="楷体" w:hAnsi="楷体" w:eastAsia="楷体" w:cs="楷体"/>
          <w:color w:val="000000" w:themeColor="text1"/>
          <w:kern w:val="21"/>
          <w:sz w:val="32"/>
          <w:szCs w:val="32"/>
          <w:lang w:val="en-US" w:eastAsia="zh-CN"/>
          <w14:textFill>
            <w14:solidFill>
              <w14:schemeClr w14:val="tx1"/>
            </w14:solidFill>
          </w14:textFill>
        </w:rPr>
        <w:t>普法和依法治理更系统深化。</w:t>
      </w:r>
      <w:r>
        <w:rPr>
          <w:rFonts w:hint="default" w:ascii="Times New Roman" w:hAnsi="Times New Roman" w:eastAsia="仿宋_GB2312" w:cs="Times New Roman"/>
          <w:color w:val="000000" w:themeColor="text1"/>
          <w:kern w:val="21"/>
          <w:sz w:val="32"/>
          <w:szCs w:val="32"/>
          <w14:textFill>
            <w14:solidFill>
              <w14:schemeClr w14:val="tx1"/>
            </w14:solidFill>
          </w14:textFill>
        </w:rPr>
        <w:t>着力建设职能科学、权责法定、执法严明、公开公正、廉洁高效、守法诚信的法治政府，为全县高质量发展和社会和谐稳定营造良好</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法治</w:t>
      </w:r>
      <w:r>
        <w:rPr>
          <w:rFonts w:hint="default" w:ascii="Times New Roman" w:hAnsi="Times New Roman" w:eastAsia="仿宋_GB2312" w:cs="Times New Roman"/>
          <w:color w:val="000000" w:themeColor="text1"/>
          <w:kern w:val="21"/>
          <w:sz w:val="32"/>
          <w:szCs w:val="32"/>
          <w14:textFill>
            <w14:solidFill>
              <w14:schemeClr w14:val="tx1"/>
            </w14:solidFill>
          </w14:textFill>
        </w:rPr>
        <w:t>环境。</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2019</w:t>
      </w:r>
      <w:r>
        <w:rPr>
          <w:rFonts w:hint="eastAsia" w:ascii="仿宋" w:hAnsi="仿宋" w:eastAsia="仿宋" w:cs="仿宋"/>
          <w:sz w:val="32"/>
          <w:szCs w:val="32"/>
          <w:lang w:val="en-US" w:eastAsia="zh-CN"/>
        </w:rPr>
        <w:t>年，</w:t>
      </w:r>
      <w:r>
        <w:rPr>
          <w:rFonts w:hint="default" w:ascii="Times New Roman" w:hAnsi="Times New Roman" w:eastAsia="仿宋_GB2312" w:cs="Times New Roman"/>
          <w:kern w:val="21"/>
          <w:sz w:val="32"/>
          <w:szCs w:val="32"/>
        </w:rPr>
        <w:t>我县被</w:t>
      </w:r>
      <w:r>
        <w:rPr>
          <w:rFonts w:hint="default" w:ascii="Times New Roman" w:hAnsi="Times New Roman" w:eastAsia="仿宋_GB2312" w:cs="Times New Roman"/>
          <w:kern w:val="21"/>
          <w:sz w:val="32"/>
          <w:szCs w:val="32"/>
          <w:lang w:eastAsia="zh-CN"/>
        </w:rPr>
        <w:t>评</w:t>
      </w:r>
      <w:r>
        <w:rPr>
          <w:rFonts w:hint="default" w:ascii="Times New Roman" w:hAnsi="Times New Roman" w:eastAsia="仿宋_GB2312" w:cs="Times New Roman"/>
          <w:kern w:val="21"/>
          <w:sz w:val="32"/>
          <w:szCs w:val="32"/>
        </w:rPr>
        <w:t>为“河北省‘七五’普法中期先进县”</w:t>
      </w:r>
      <w:r>
        <w:rPr>
          <w:rFonts w:hint="eastAsia" w:ascii="Times New Roman" w:hAnsi="Times New Roman" w:eastAsia="仿宋_GB2312" w:cs="Times New Roman"/>
          <w:kern w:val="21"/>
          <w:sz w:val="32"/>
          <w:szCs w:val="32"/>
          <w:lang w:eastAsia="zh-CN"/>
        </w:rPr>
        <w:t>。</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7</w:t>
      </w:r>
      <w:r>
        <w:rPr>
          <w:rFonts w:hint="eastAsia" w:ascii="Times New Roman" w:hAnsi="Times New Roman" w:eastAsia="仿宋_GB2312" w:cs="Times New Roman"/>
          <w:b w:val="0"/>
          <w:bCs w:val="0"/>
          <w:kern w:val="21"/>
          <w:sz w:val="32"/>
          <w:szCs w:val="32"/>
          <w:lang w:val="en-US" w:eastAsia="zh-CN"/>
        </w:rPr>
        <w:t>月，</w:t>
      </w:r>
      <w:r>
        <w:rPr>
          <w:rFonts w:hint="eastAsia" w:ascii="仿宋" w:hAnsi="仿宋" w:eastAsia="仿宋" w:cs="仿宋"/>
          <w:b w:val="0"/>
          <w:bCs w:val="0"/>
          <w:color w:val="auto"/>
          <w:sz w:val="32"/>
          <w:szCs w:val="32"/>
          <w:lang w:val="en-US" w:eastAsia="zh-CN"/>
        </w:rPr>
        <w:t>全市七五普法现场会、全市依法行政办公室主任工作会议在我县成功召开。</w:t>
      </w:r>
    </w:p>
    <w:p>
      <w:pPr>
        <w:keepNext w:val="0"/>
        <w:keepLines w:val="0"/>
        <w:pageBreakBefore w:val="0"/>
        <w:numPr>
          <w:ilvl w:val="0"/>
          <w:numId w:val="0"/>
        </w:numPr>
        <w:kinsoku/>
        <w:overflowPunct/>
        <w:topLinePunct w:val="0"/>
        <w:autoSpaceDE/>
        <w:autoSpaceDN/>
        <w:bidi w:val="0"/>
        <w:spacing w:after="0" w:line="600" w:lineRule="exact"/>
        <w:ind w:firstLine="640" w:firstLineChars="200"/>
        <w:textAlignment w:val="auto"/>
        <w:rPr>
          <w:rFonts w:hint="eastAsia" w:ascii="楷体" w:hAnsi="楷体" w:eastAsia="楷体" w:cs="楷体"/>
          <w:color w:val="000000" w:themeColor="text1"/>
          <w:kern w:val="21"/>
          <w:sz w:val="32"/>
          <w:szCs w:val="32"/>
          <w:lang w:val="en-US" w:eastAsia="zh-CN"/>
          <w14:textFill>
            <w14:solidFill>
              <w14:schemeClr w14:val="tx1"/>
            </w14:solidFill>
          </w14:textFill>
        </w:rPr>
      </w:pPr>
      <w:r>
        <w:rPr>
          <w:rFonts w:hint="eastAsia" w:ascii="楷体" w:hAnsi="楷体" w:eastAsia="楷体" w:cs="楷体"/>
          <w:color w:val="000000" w:themeColor="text1"/>
          <w:kern w:val="21"/>
          <w:sz w:val="32"/>
          <w:szCs w:val="32"/>
          <w:lang w:val="en-US" w:eastAsia="zh-CN"/>
          <w14:textFill>
            <w14:solidFill>
              <w14:schemeClr w14:val="tx1"/>
            </w14:solidFill>
          </w14:textFill>
        </w:rPr>
        <w:t>2、公共法律服务更优质高效。</w:t>
      </w:r>
      <w:r>
        <w:rPr>
          <w:rFonts w:hint="eastAsia" w:ascii="仿宋_GB2312" w:hAnsi="仿宋" w:eastAsia="仿宋_GB2312" w:cs="仿宋_GB2312"/>
          <w:b w:val="0"/>
          <w:bCs w:val="0"/>
          <w:kern w:val="0"/>
          <w:sz w:val="32"/>
          <w:szCs w:val="32"/>
          <w:shd w:val="clear" w:color="auto" w:fill="FFFFFF"/>
          <w:lang w:val="en-US" w:eastAsia="zh-CN" w:bidi="ar-SA"/>
        </w:rPr>
        <w:t>积极筹划法治文化阵地建设，</w:t>
      </w:r>
      <w:r>
        <w:rPr>
          <w:rFonts w:hint="eastAsia" w:ascii="仿宋_GB2312" w:hAnsi="仿宋_GB2312" w:eastAsia="仿宋_GB2312" w:cs="仿宋_GB2312"/>
          <w:b w:val="0"/>
          <w:bCs w:val="0"/>
          <w:i w:val="0"/>
          <w:caps w:val="0"/>
          <w:color w:val="000000"/>
          <w:spacing w:val="8"/>
          <w:sz w:val="32"/>
          <w:szCs w:val="32"/>
          <w:shd w:val="clear" w:fill="FFFFFF"/>
          <w:lang w:val="en-US" w:eastAsia="zh-CN"/>
        </w:rPr>
        <w:t>成功打造了法治文化一条街、法治文化主题公园、青少年教育基地、隆尧县党员干部警示教育基地、陈庄法治示范村，全方位多领域深化法治文化建设。</w:t>
      </w:r>
      <w:r>
        <w:rPr>
          <w:rFonts w:hint="eastAsia" w:eastAsia="仿宋" w:cs="Times New Roman"/>
          <w:b w:val="0"/>
          <w:bCs w:val="0"/>
          <w:kern w:val="0"/>
          <w:sz w:val="32"/>
          <w:szCs w:val="32"/>
          <w:lang w:val="en-US" w:eastAsia="zh-CN" w:bidi="zh-CN"/>
        </w:rPr>
        <w:t>投资</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30</w:t>
      </w:r>
      <w:r>
        <w:rPr>
          <w:rFonts w:hint="eastAsia" w:eastAsia="仿宋" w:cs="Times New Roman"/>
          <w:b w:val="0"/>
          <w:bCs w:val="0"/>
          <w:kern w:val="0"/>
          <w:sz w:val="32"/>
          <w:szCs w:val="32"/>
          <w:lang w:val="en-US" w:eastAsia="zh-CN" w:bidi="zh-CN"/>
        </w:rPr>
        <w:t>余万元，高标准建成</w:t>
      </w:r>
      <w:r>
        <w:rPr>
          <w:rFonts w:hint="eastAsia" w:ascii="仿宋_GB2312" w:hAnsi="仿宋_GB2312" w:eastAsia="仿宋_GB2312" w:cs="仿宋_GB2312"/>
          <w:b w:val="0"/>
          <w:bCs w:val="0"/>
          <w:color w:val="000000"/>
          <w:kern w:val="0"/>
          <w:sz w:val="32"/>
          <w:szCs w:val="32"/>
          <w:lang w:bidi="ar"/>
        </w:rPr>
        <w:t>隆尧县</w:t>
      </w:r>
      <w:r>
        <w:rPr>
          <w:rFonts w:hint="eastAsia" w:ascii="仿宋_GB2312" w:hAnsi="仿宋_GB2312" w:eastAsia="仿宋_GB2312" w:cs="仿宋_GB2312"/>
          <w:b w:val="0"/>
          <w:bCs w:val="0"/>
          <w:color w:val="000000"/>
          <w:kern w:val="0"/>
          <w:sz w:val="32"/>
          <w:szCs w:val="32"/>
          <w:lang w:val="en-US" w:eastAsia="zh-CN" w:bidi="ar"/>
        </w:rPr>
        <w:t>公共</w:t>
      </w:r>
      <w:r>
        <w:rPr>
          <w:rFonts w:hint="eastAsia" w:ascii="仿宋_GB2312" w:hAnsi="仿宋_GB2312" w:eastAsia="仿宋_GB2312" w:cs="仿宋_GB2312"/>
          <w:b w:val="0"/>
          <w:bCs w:val="0"/>
          <w:color w:val="000000"/>
          <w:kern w:val="0"/>
          <w:sz w:val="32"/>
          <w:szCs w:val="32"/>
          <w:lang w:bidi="ar"/>
        </w:rPr>
        <w:t>法律服务中心</w:t>
      </w:r>
      <w:r>
        <w:rPr>
          <w:rFonts w:hint="eastAsia" w:ascii="仿宋_GB2312" w:hAnsi="仿宋_GB2312" w:eastAsia="仿宋_GB2312" w:cs="仿宋_GB2312"/>
          <w:b w:val="0"/>
          <w:bCs w:val="0"/>
          <w:color w:val="000000"/>
          <w:kern w:val="0"/>
          <w:sz w:val="32"/>
          <w:szCs w:val="32"/>
          <w:lang w:val="en-US" w:eastAsia="zh-CN" w:bidi="ar"/>
        </w:rPr>
        <w:t>。</w:t>
      </w:r>
      <w:r>
        <w:rPr>
          <w:rFonts w:hint="eastAsia" w:ascii="仿宋_GB2312" w:hAnsi="仿宋_GB2312" w:eastAsia="仿宋_GB2312" w:cs="仿宋_GB2312"/>
          <w:b w:val="0"/>
          <w:bCs w:val="0"/>
          <w:color w:val="000000"/>
          <w:kern w:val="0"/>
          <w:sz w:val="32"/>
          <w:szCs w:val="32"/>
          <w:lang w:bidi="ar"/>
        </w:rPr>
        <w:t>在全县</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12</w:t>
      </w:r>
      <w:r>
        <w:rPr>
          <w:rFonts w:hint="eastAsia" w:ascii="仿宋_GB2312" w:hAnsi="仿宋_GB2312" w:eastAsia="仿宋_GB2312" w:cs="仿宋_GB2312"/>
          <w:b w:val="0"/>
          <w:bCs w:val="0"/>
          <w:color w:val="000000"/>
          <w:kern w:val="0"/>
          <w:sz w:val="32"/>
          <w:szCs w:val="32"/>
          <w:lang w:bidi="ar"/>
        </w:rPr>
        <w:t>个乡镇</w:t>
      </w:r>
      <w:r>
        <w:rPr>
          <w:rFonts w:hint="eastAsia" w:ascii="仿宋_GB2312" w:hAnsi="仿宋_GB2312" w:eastAsia="仿宋_GB2312" w:cs="仿宋_GB2312"/>
          <w:b w:val="0"/>
          <w:bCs w:val="0"/>
          <w:color w:val="000000"/>
          <w:kern w:val="0"/>
          <w:sz w:val="32"/>
          <w:szCs w:val="32"/>
          <w:lang w:val="en-US" w:eastAsia="zh-CN" w:bidi="ar"/>
        </w:rPr>
        <w:t>建</w:t>
      </w:r>
      <w:r>
        <w:rPr>
          <w:rFonts w:hint="eastAsia" w:ascii="仿宋_GB2312" w:hAnsi="仿宋_GB2312" w:eastAsia="仿宋_GB2312" w:cs="仿宋_GB2312"/>
          <w:b w:val="0"/>
          <w:bCs w:val="0"/>
          <w:color w:val="000000"/>
          <w:kern w:val="0"/>
          <w:sz w:val="32"/>
          <w:szCs w:val="32"/>
          <w:lang w:bidi="ar"/>
        </w:rPr>
        <w:t>立公共法律服务中心，</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276</w:t>
      </w:r>
      <w:r>
        <w:rPr>
          <w:rFonts w:hint="eastAsia" w:ascii="仿宋_GB2312" w:hAnsi="仿宋_GB2312" w:eastAsia="仿宋_GB2312" w:cs="仿宋_GB2312"/>
          <w:b w:val="0"/>
          <w:bCs w:val="0"/>
          <w:color w:val="000000"/>
          <w:kern w:val="0"/>
          <w:sz w:val="32"/>
          <w:szCs w:val="32"/>
          <w:lang w:val="en-US" w:eastAsia="zh-CN" w:bidi="ar"/>
        </w:rPr>
        <w:t>个村</w:t>
      </w:r>
      <w:r>
        <w:rPr>
          <w:rFonts w:hint="eastAsia" w:ascii="仿宋_GB2312" w:hAnsi="仿宋_GB2312" w:eastAsia="仿宋_GB2312" w:cs="仿宋_GB2312"/>
          <w:b w:val="0"/>
          <w:bCs w:val="0"/>
          <w:color w:val="000000"/>
          <w:kern w:val="0"/>
          <w:sz w:val="32"/>
          <w:szCs w:val="32"/>
          <w:lang w:bidi="ar"/>
        </w:rPr>
        <w:t>均</w:t>
      </w:r>
      <w:r>
        <w:rPr>
          <w:rFonts w:hint="eastAsia" w:ascii="仿宋_GB2312" w:hAnsi="仿宋_GB2312" w:eastAsia="仿宋_GB2312" w:cs="仿宋_GB2312"/>
          <w:b w:val="0"/>
          <w:bCs w:val="0"/>
          <w:color w:val="000000"/>
          <w:kern w:val="0"/>
          <w:sz w:val="32"/>
          <w:szCs w:val="32"/>
          <w:lang w:val="en-US" w:eastAsia="zh-CN" w:bidi="ar"/>
        </w:rPr>
        <w:t>建立公共</w:t>
      </w:r>
      <w:r>
        <w:rPr>
          <w:rFonts w:hint="eastAsia" w:ascii="仿宋_GB2312" w:hAnsi="仿宋_GB2312" w:eastAsia="仿宋_GB2312" w:cs="仿宋_GB2312"/>
          <w:b w:val="0"/>
          <w:bCs w:val="0"/>
          <w:color w:val="000000"/>
          <w:kern w:val="0"/>
          <w:sz w:val="32"/>
          <w:szCs w:val="32"/>
          <w:lang w:bidi="ar"/>
        </w:rPr>
        <w:t>法律服务</w:t>
      </w:r>
      <w:r>
        <w:rPr>
          <w:rFonts w:hint="eastAsia" w:ascii="仿宋_GB2312" w:hAnsi="仿宋_GB2312" w:eastAsia="仿宋_GB2312" w:cs="仿宋_GB2312"/>
          <w:b w:val="0"/>
          <w:bCs w:val="0"/>
          <w:color w:val="000000"/>
          <w:kern w:val="0"/>
          <w:sz w:val="32"/>
          <w:szCs w:val="32"/>
          <w:lang w:val="en-US" w:eastAsia="zh-CN" w:bidi="ar"/>
        </w:rPr>
        <w:t>工作站，村</w:t>
      </w:r>
      <w:r>
        <w:rPr>
          <w:rFonts w:hint="eastAsia" w:ascii="仿宋_GB2312" w:hAnsi="仿宋_GB2312" w:eastAsia="仿宋_GB2312" w:cs="仿宋_GB2312"/>
          <w:b w:val="0"/>
          <w:bCs w:val="0"/>
          <w:color w:val="000000"/>
          <w:kern w:val="0"/>
          <w:sz w:val="32"/>
          <w:szCs w:val="32"/>
          <w:lang w:bidi="ar"/>
        </w:rPr>
        <w:t>居法律顾问</w:t>
      </w:r>
      <w:r>
        <w:rPr>
          <w:rFonts w:hint="eastAsia" w:ascii="仿宋_GB2312" w:hAnsi="仿宋_GB2312" w:eastAsia="仿宋_GB2312" w:cs="仿宋_GB2312"/>
          <w:b w:val="0"/>
          <w:bCs w:val="0"/>
          <w:color w:val="000000"/>
          <w:kern w:val="0"/>
          <w:sz w:val="32"/>
          <w:szCs w:val="32"/>
          <w:lang w:val="en-US" w:eastAsia="zh-CN" w:bidi="ar"/>
        </w:rPr>
        <w:t>实现</w:t>
      </w:r>
      <w:r>
        <w:rPr>
          <w:rFonts w:hint="eastAsia" w:ascii="仿宋_GB2312" w:hAnsi="仿宋_GB2312" w:eastAsia="仿宋_GB2312" w:cs="仿宋_GB2312"/>
          <w:b w:val="0"/>
          <w:bCs w:val="0"/>
          <w:color w:val="000000"/>
          <w:kern w:val="0"/>
          <w:sz w:val="32"/>
          <w:szCs w:val="32"/>
          <w:lang w:bidi="ar"/>
        </w:rPr>
        <w:t>全覆盖</w:t>
      </w:r>
      <w:r>
        <w:rPr>
          <w:rFonts w:hint="eastAsia" w:ascii="仿宋_GB2312" w:hAnsi="仿宋_GB2312" w:eastAsia="仿宋_GB2312" w:cs="仿宋_GB2312"/>
          <w:b w:val="0"/>
          <w:bCs w:val="0"/>
          <w:color w:val="000000"/>
          <w:kern w:val="0"/>
          <w:sz w:val="32"/>
          <w:szCs w:val="32"/>
          <w:lang w:eastAsia="zh-CN" w:bidi="ar"/>
        </w:rPr>
        <w:t>，</w:t>
      </w:r>
      <w:r>
        <w:rPr>
          <w:rFonts w:hint="eastAsia" w:ascii="仿宋_GB2312" w:hAnsi="仿宋_GB2312" w:eastAsia="仿宋_GB2312" w:cs="仿宋_GB2312"/>
          <w:b w:val="0"/>
          <w:bCs w:val="0"/>
          <w:color w:val="000000"/>
          <w:kern w:val="0"/>
          <w:sz w:val="32"/>
          <w:szCs w:val="32"/>
          <w:lang w:val="en-US" w:eastAsia="zh-CN" w:bidi="ar"/>
        </w:rPr>
        <w:t>向群众提供高质量全方位法律服务</w:t>
      </w:r>
      <w:r>
        <w:rPr>
          <w:rFonts w:hint="eastAsia" w:ascii="仿宋_GB2312" w:hAnsi="仿宋_GB2312" w:eastAsia="仿宋_GB2312" w:cs="仿宋_GB2312"/>
          <w:b w:val="0"/>
          <w:bCs w:val="0"/>
          <w:color w:val="000000"/>
          <w:kern w:val="0"/>
          <w:sz w:val="32"/>
          <w:szCs w:val="32"/>
          <w:lang w:eastAsia="zh-CN" w:bidi="ar"/>
        </w:rPr>
        <w:t>。</w:t>
      </w:r>
    </w:p>
    <w:p>
      <w:pPr>
        <w:keepNext w:val="0"/>
        <w:keepLines w:val="0"/>
        <w:pageBreakBefore w:val="0"/>
        <w:numPr>
          <w:ilvl w:val="0"/>
          <w:numId w:val="0"/>
        </w:numPr>
        <w:kinsoku/>
        <w:overflowPunct/>
        <w:topLinePunct w:val="0"/>
        <w:autoSpaceDE/>
        <w:autoSpaceDN/>
        <w:bidi w:val="0"/>
        <w:spacing w:after="0" w:line="600" w:lineRule="exact"/>
        <w:ind w:firstLine="640" w:firstLineChars="200"/>
        <w:textAlignment w:val="auto"/>
        <w:rPr>
          <w:rFonts w:hint="eastAsia" w:ascii="楷体" w:hAnsi="楷体" w:eastAsia="楷体" w:cs="楷体"/>
          <w:color w:val="000000" w:themeColor="text1"/>
          <w:kern w:val="21"/>
          <w:sz w:val="32"/>
          <w:szCs w:val="32"/>
          <w:lang w:val="en-US" w:eastAsia="zh-CN"/>
          <w14:textFill>
            <w14:solidFill>
              <w14:schemeClr w14:val="tx1"/>
            </w14:solidFill>
          </w14:textFill>
        </w:rPr>
      </w:pPr>
      <w:r>
        <w:rPr>
          <w:rFonts w:hint="eastAsia" w:ascii="楷体" w:hAnsi="楷体" w:eastAsia="楷体" w:cs="楷体"/>
          <w:color w:val="000000" w:themeColor="text1"/>
          <w:kern w:val="21"/>
          <w:sz w:val="32"/>
          <w:szCs w:val="32"/>
          <w:lang w:val="en-US" w:eastAsia="zh-CN"/>
          <w14:textFill>
            <w14:solidFill>
              <w14:schemeClr w14:val="tx1"/>
            </w14:solidFill>
          </w14:textFill>
        </w:rPr>
        <w:t>3、依法行政更科学规范。</w:t>
      </w:r>
      <w:r>
        <w:rPr>
          <w:rFonts w:hint="default" w:ascii="Times New Roman" w:hAnsi="Times New Roman" w:eastAsia="仿宋_GB2312" w:cs="Times New Roman"/>
          <w:sz w:val="32"/>
          <w:szCs w:val="32"/>
        </w:rPr>
        <w:t>构建系统完备、科学规范、运行有效的依法行政制度体系</w:t>
      </w:r>
      <w:r>
        <w:rPr>
          <w:rFonts w:hint="eastAsia" w:ascii="Times New Roman" w:hAnsi="Times New Roman" w:eastAsia="仿宋_GB2312" w:cs="Times New Roman"/>
          <w:kern w:val="21"/>
          <w:sz w:val="32"/>
          <w:szCs w:val="32"/>
          <w:lang w:val="en-US" w:eastAsia="zh-CN"/>
        </w:rPr>
        <w:t>和科学有效的决策体系。全面推行行政执法“三项制度”，推进严格、规范、公正、文明执法。</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2019</w:t>
      </w:r>
      <w:r>
        <w:rPr>
          <w:rFonts w:hint="eastAsia" w:ascii="Times New Roman" w:hAnsi="Times New Roman" w:eastAsia="仿宋_GB2312" w:cs="Times New Roman"/>
          <w:kern w:val="21"/>
          <w:sz w:val="32"/>
          <w:szCs w:val="32"/>
          <w:lang w:val="en-US" w:eastAsia="zh-CN"/>
        </w:rPr>
        <w:t>年，</w:t>
      </w:r>
      <w:r>
        <w:rPr>
          <w:rFonts w:hint="eastAsia" w:ascii="Times New Roman" w:hAnsi="Times New Roman" w:eastAsia="仿宋_GB2312" w:cs="Times New Roman"/>
          <w:b w:val="0"/>
          <w:bCs w:val="0"/>
          <w:kern w:val="21"/>
          <w:sz w:val="32"/>
          <w:szCs w:val="32"/>
          <w:lang w:val="en-US" w:eastAsia="zh-CN"/>
        </w:rPr>
        <w:t>隆尧县政府被评为</w:t>
      </w:r>
      <w:r>
        <w:rPr>
          <w:rFonts w:hint="eastAsia" w:ascii="仿宋_GB2312" w:hAnsi="仿宋_GB2312" w:eastAsia="仿宋_GB2312" w:cs="仿宋_GB2312"/>
          <w:b w:val="0"/>
          <w:bCs w:val="0"/>
          <w:sz w:val="32"/>
          <w:szCs w:val="32"/>
          <w:lang w:val="en-US" w:eastAsia="zh-CN"/>
        </w:rPr>
        <w:t>全市</w:t>
      </w:r>
      <w:r>
        <w:rPr>
          <w:rFonts w:hint="eastAsia" w:ascii="Times New Roman" w:hAnsi="Times New Roman" w:eastAsia="仿宋_GB2312" w:cs="Times New Roman"/>
          <w:b w:val="0"/>
          <w:bCs w:val="0"/>
          <w:kern w:val="21"/>
          <w:sz w:val="32"/>
          <w:szCs w:val="32"/>
          <w:lang w:val="en-US" w:eastAsia="zh-CN"/>
        </w:rPr>
        <w:t>依法行政优秀等次单位，</w:t>
      </w:r>
      <w:r>
        <w:rPr>
          <w:rFonts w:hint="eastAsia" w:ascii="仿宋_GB2312" w:hAnsi="仿宋_GB2312" w:eastAsia="仿宋_GB2312" w:cs="仿宋_GB2312"/>
          <w:b w:val="0"/>
          <w:bCs w:val="0"/>
          <w:sz w:val="32"/>
          <w:szCs w:val="32"/>
          <w:lang w:val="en-US" w:eastAsia="zh-CN"/>
        </w:rPr>
        <w:t>我县</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w:t>
      </w:r>
      <w:r>
        <w:rPr>
          <w:rFonts w:hint="eastAsia" w:ascii="仿宋_GB2312" w:hAnsi="仿宋_GB2312" w:eastAsia="仿宋_GB2312" w:cs="仿宋_GB2312"/>
          <w:b w:val="0"/>
          <w:bCs w:val="0"/>
          <w:sz w:val="32"/>
          <w:szCs w:val="32"/>
          <w:lang w:val="en-US" w:eastAsia="zh-CN"/>
        </w:rPr>
        <w:t>份案卷被评为</w:t>
      </w:r>
      <w:r>
        <w:rPr>
          <w:rFonts w:hint="eastAsia" w:ascii="Times New Roman" w:hAnsi="Times New Roman" w:eastAsia="仿宋_GB2312" w:cs="Times New Roman"/>
          <w:kern w:val="21"/>
          <w:sz w:val="32"/>
          <w:szCs w:val="32"/>
          <w:lang w:val="en-US" w:eastAsia="zh-CN"/>
        </w:rPr>
        <w:t>全省优秀行政执法案卷。</w:t>
      </w:r>
      <w:r>
        <w:rPr>
          <w:rFonts w:hint="default" w:ascii="Times New Roman" w:hAnsi="Times New Roman" w:eastAsia="仿宋_GB2312" w:cs="Times New Roman"/>
          <w:kern w:val="21"/>
          <w:sz w:val="32"/>
          <w:szCs w:val="32"/>
        </w:rPr>
        <w:t>我县的行政复议机制创新、“三项制度”专项司法督察、公职人员网上考法</w:t>
      </w:r>
      <w:r>
        <w:rPr>
          <w:rFonts w:hint="eastAsia" w:ascii="Times New Roman" w:hAnsi="Times New Roman" w:eastAsia="仿宋_GB2312" w:cs="Times New Roman"/>
          <w:kern w:val="21"/>
          <w:sz w:val="32"/>
          <w:szCs w:val="32"/>
          <w:lang w:eastAsia="zh-CN"/>
        </w:rPr>
        <w:t>、</w:t>
      </w:r>
      <w:r>
        <w:rPr>
          <w:rFonts w:hint="eastAsia" w:ascii="Times New Roman" w:hAnsi="Times New Roman" w:eastAsia="仿宋_GB2312" w:cs="Times New Roman"/>
          <w:kern w:val="21"/>
          <w:sz w:val="32"/>
          <w:szCs w:val="32"/>
          <w:lang w:val="en-US" w:eastAsia="zh-CN"/>
        </w:rPr>
        <w:t>依法抗疫、乡镇综合执法改革</w:t>
      </w:r>
      <w:r>
        <w:rPr>
          <w:rFonts w:hint="default" w:ascii="Times New Roman" w:hAnsi="Times New Roman" w:eastAsia="仿宋_GB2312" w:cs="Times New Roman"/>
          <w:kern w:val="21"/>
          <w:sz w:val="32"/>
          <w:szCs w:val="32"/>
        </w:rPr>
        <w:t>等经验和做法，先后被</w:t>
      </w:r>
      <w:r>
        <w:rPr>
          <w:rFonts w:hint="eastAsia" w:ascii="Times New Roman" w:hAnsi="Times New Roman" w:eastAsia="仿宋_GB2312" w:cs="Times New Roman"/>
          <w:kern w:val="21"/>
          <w:sz w:val="32"/>
          <w:szCs w:val="32"/>
          <w:lang w:val="en-US" w:eastAsia="zh-CN"/>
        </w:rPr>
        <w:t>人民网、</w:t>
      </w:r>
      <w:r>
        <w:rPr>
          <w:rFonts w:hint="default" w:ascii="Times New Roman" w:hAnsi="Times New Roman" w:eastAsia="仿宋_GB2312" w:cs="Times New Roman"/>
          <w:kern w:val="21"/>
          <w:sz w:val="32"/>
          <w:szCs w:val="32"/>
        </w:rPr>
        <w:t>新华网、</w:t>
      </w:r>
      <w:r>
        <w:rPr>
          <w:rFonts w:hint="eastAsia" w:ascii="Times New Roman" w:hAnsi="Times New Roman" w:eastAsia="仿宋_GB2312" w:cs="Times New Roman"/>
          <w:kern w:val="21"/>
          <w:sz w:val="32"/>
          <w:szCs w:val="32"/>
          <w:lang w:val="en-US" w:eastAsia="zh-CN"/>
        </w:rPr>
        <w:t>学习强国、司法部、</w:t>
      </w:r>
      <w:r>
        <w:rPr>
          <w:rFonts w:hint="default" w:ascii="Times New Roman" w:hAnsi="Times New Roman" w:eastAsia="仿宋_GB2312" w:cs="Times New Roman"/>
          <w:kern w:val="21"/>
          <w:sz w:val="32"/>
          <w:szCs w:val="32"/>
        </w:rPr>
        <w:t>河北法制报等多家媒体</w:t>
      </w:r>
      <w:r>
        <w:rPr>
          <w:rFonts w:hint="eastAsia" w:ascii="Times New Roman" w:hAnsi="Times New Roman" w:eastAsia="仿宋_GB2312" w:cs="Times New Roman"/>
          <w:kern w:val="21"/>
          <w:sz w:val="32"/>
          <w:szCs w:val="32"/>
          <w:lang w:eastAsia="zh-CN"/>
        </w:rPr>
        <w:t>、</w:t>
      </w:r>
      <w:r>
        <w:rPr>
          <w:rFonts w:hint="eastAsia" w:ascii="Times New Roman" w:hAnsi="Times New Roman" w:eastAsia="仿宋_GB2312" w:cs="Times New Roman"/>
          <w:kern w:val="21"/>
          <w:sz w:val="32"/>
          <w:szCs w:val="32"/>
          <w:lang w:val="en-US" w:eastAsia="zh-CN"/>
        </w:rPr>
        <w:t>平台</w:t>
      </w:r>
      <w:r>
        <w:rPr>
          <w:rFonts w:hint="default" w:ascii="Times New Roman" w:hAnsi="Times New Roman" w:eastAsia="仿宋_GB2312" w:cs="Times New Roman"/>
          <w:kern w:val="21"/>
          <w:sz w:val="32"/>
          <w:szCs w:val="32"/>
        </w:rPr>
        <w:t>报道</w:t>
      </w:r>
      <w:r>
        <w:rPr>
          <w:rFonts w:hint="eastAsia" w:ascii="Times New Roman" w:hAnsi="Times New Roman" w:eastAsia="仿宋_GB2312" w:cs="Times New Roman"/>
          <w:kern w:val="21"/>
          <w:sz w:val="32"/>
          <w:szCs w:val="32"/>
          <w:lang w:eastAsia="zh-CN"/>
        </w:rPr>
        <w:t>。</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2019——2020</w:t>
      </w:r>
      <w:r>
        <w:rPr>
          <w:rFonts w:hint="eastAsia" w:ascii="仿宋" w:hAnsi="仿宋" w:eastAsia="仿宋" w:cs="仿宋"/>
          <w:b w:val="0"/>
          <w:bCs w:val="0"/>
          <w:sz w:val="32"/>
          <w:szCs w:val="32"/>
          <w:lang w:val="en-US" w:eastAsia="zh-CN"/>
        </w:rPr>
        <w:t>年，为县委、县政府及各部门共审核规范性文件</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30</w:t>
      </w:r>
      <w:r>
        <w:rPr>
          <w:rFonts w:hint="eastAsia" w:ascii="仿宋" w:hAnsi="仿宋" w:eastAsia="仿宋" w:cs="仿宋"/>
          <w:b w:val="0"/>
          <w:bCs w:val="0"/>
          <w:sz w:val="32"/>
          <w:szCs w:val="32"/>
          <w:lang w:val="en-US" w:eastAsia="zh-CN"/>
        </w:rPr>
        <w:t>件，律师参与重大行政决策</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7</w:t>
      </w:r>
      <w:r>
        <w:rPr>
          <w:rFonts w:hint="eastAsia" w:ascii="仿宋" w:hAnsi="仿宋" w:eastAsia="仿宋" w:cs="仿宋"/>
          <w:b w:val="0"/>
          <w:bCs w:val="0"/>
          <w:sz w:val="32"/>
          <w:szCs w:val="32"/>
          <w:lang w:val="en-US" w:eastAsia="zh-CN"/>
        </w:rPr>
        <w:t>次，审查重要合同</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21</w:t>
      </w:r>
      <w:r>
        <w:rPr>
          <w:rFonts w:hint="eastAsia" w:ascii="仿宋" w:hAnsi="仿宋" w:eastAsia="仿宋" w:cs="仿宋"/>
          <w:b w:val="0"/>
          <w:bCs w:val="0"/>
          <w:sz w:val="32"/>
          <w:szCs w:val="32"/>
          <w:lang w:val="en-US" w:eastAsia="zh-CN"/>
        </w:rPr>
        <w:t>件。</w:t>
      </w:r>
      <w:r>
        <w:rPr>
          <w:rFonts w:hint="eastAsia" w:eastAsia="仿宋"/>
          <w:sz w:val="32"/>
          <w:szCs w:val="32"/>
          <w:lang w:val="en-US" w:eastAsia="zh-CN"/>
        </w:rPr>
        <w:t>共办理</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29</w:t>
      </w:r>
      <w:r>
        <w:rPr>
          <w:rFonts w:hint="eastAsia" w:eastAsia="仿宋"/>
          <w:sz w:val="32"/>
          <w:szCs w:val="32"/>
          <w:lang w:val="en-US" w:eastAsia="zh-CN"/>
        </w:rPr>
        <w:t>件行政复议案件。</w:t>
      </w:r>
    </w:p>
    <w:p>
      <w:pPr>
        <w:keepNext w:val="0"/>
        <w:keepLines w:val="0"/>
        <w:pageBreakBefore w:val="0"/>
        <w:numPr>
          <w:ilvl w:val="0"/>
          <w:numId w:val="0"/>
        </w:numPr>
        <w:kinsoku/>
        <w:overflowPunct/>
        <w:topLinePunct w:val="0"/>
        <w:autoSpaceDE/>
        <w:autoSpaceDN/>
        <w:bidi w:val="0"/>
        <w:spacing w:after="0" w:line="600" w:lineRule="exact"/>
        <w:ind w:firstLine="640" w:firstLineChars="200"/>
        <w:textAlignment w:val="auto"/>
        <w:rPr>
          <w:rFonts w:hint="eastAsia" w:ascii="楷体" w:hAnsi="楷体" w:eastAsia="楷体" w:cs="楷体"/>
          <w:color w:val="000000" w:themeColor="text1"/>
          <w:kern w:val="21"/>
          <w:sz w:val="32"/>
          <w:szCs w:val="32"/>
          <w:lang w:val="en-US" w:eastAsia="zh-CN"/>
          <w14:textFill>
            <w14:solidFill>
              <w14:schemeClr w14:val="tx1"/>
            </w14:solidFill>
          </w14:textFill>
        </w:rPr>
      </w:pPr>
      <w:r>
        <w:rPr>
          <w:rFonts w:hint="eastAsia" w:ascii="楷体" w:hAnsi="楷体" w:eastAsia="楷体" w:cs="楷体"/>
          <w:color w:val="000000" w:themeColor="text1"/>
          <w:kern w:val="21"/>
          <w:sz w:val="32"/>
          <w:szCs w:val="32"/>
          <w:lang w:val="en-US" w:eastAsia="zh-CN"/>
          <w14:textFill>
            <w14:solidFill>
              <w14:schemeClr w14:val="tx1"/>
            </w14:solidFill>
          </w14:textFill>
        </w:rPr>
        <w:t>4、人民调解更健全完善。</w:t>
      </w:r>
      <w:r>
        <w:rPr>
          <w:rFonts w:hint="eastAsia" w:ascii="仿宋" w:hAnsi="仿宋" w:eastAsia="仿宋"/>
          <w:sz w:val="32"/>
          <w:szCs w:val="32"/>
          <w:lang w:val="en-US" w:eastAsia="zh-CN"/>
        </w:rPr>
        <w:t>坚持发展“枫桥经验”</w:t>
      </w:r>
      <w:r>
        <w:rPr>
          <w:rFonts w:hint="eastAsia" w:ascii="仿宋" w:hAnsi="仿宋" w:eastAsia="仿宋" w:cs="仿宋"/>
          <w:color w:val="000000" w:themeColor="text1"/>
          <w:sz w:val="32"/>
          <w:szCs w:val="32"/>
          <w:shd w:val="clear" w:color="auto" w:fill="auto"/>
          <w14:textFill>
            <w14:solidFill>
              <w14:schemeClr w14:val="tx1"/>
            </w14:solidFill>
          </w14:textFill>
        </w:rPr>
        <w:t>，健全矛盾纠纷预防预警、调处化解机制</w:t>
      </w:r>
      <w:r>
        <w:rPr>
          <w:rFonts w:hint="eastAsia" w:ascii="仿宋" w:hAnsi="仿宋" w:eastAsia="仿宋" w:cs="仿宋"/>
          <w:color w:val="000000" w:themeColor="text1"/>
          <w:sz w:val="32"/>
          <w:szCs w:val="32"/>
          <w:shd w:val="clear" w:color="auto" w:fill="auto"/>
          <w:lang w:eastAsia="zh-CN"/>
          <w14:textFill>
            <w14:solidFill>
              <w14:schemeClr w14:val="tx1"/>
            </w14:solidFill>
          </w14:textFill>
        </w:rPr>
        <w:t>，</w:t>
      </w:r>
      <w:r>
        <w:rPr>
          <w:rFonts w:hint="eastAsia" w:ascii="仿宋" w:hAnsi="仿宋" w:eastAsia="仿宋" w:cs="仿宋"/>
          <w:color w:val="000000" w:themeColor="text1"/>
          <w:sz w:val="32"/>
          <w:szCs w:val="32"/>
          <w:shd w:val="clear" w:color="auto" w:fill="auto"/>
          <w:lang w:val="en-US" w:eastAsia="zh-CN"/>
          <w14:textFill>
            <w14:solidFill>
              <w14:schemeClr w14:val="tx1"/>
            </w14:solidFill>
          </w14:textFill>
        </w:rPr>
        <w:t>积极</w:t>
      </w:r>
      <w:r>
        <w:rPr>
          <w:rFonts w:hint="eastAsia" w:ascii="Times New Roman" w:hAnsi="Times New Roman" w:eastAsia="仿宋" w:cs="Times New Roman"/>
          <w:sz w:val="32"/>
          <w:szCs w:val="32"/>
          <w:shd w:val="clear" w:color="auto" w:fill="FFFFFF"/>
          <w:lang w:val="en-US" w:eastAsia="zh-CN"/>
        </w:rPr>
        <w:t>打造调解品牌</w:t>
      </w:r>
      <w:r>
        <w:rPr>
          <w:rFonts w:hint="eastAsia" w:ascii="Times New Roman" w:hAnsi="Times New Roman" w:eastAsia="仿宋_GB2312" w:cs="Times New Roman"/>
          <w:b w:val="0"/>
          <w:bCs w:val="0"/>
          <w:kern w:val="21"/>
          <w:sz w:val="32"/>
          <w:szCs w:val="32"/>
          <w:lang w:val="en-US" w:eastAsia="zh-CN"/>
        </w:rPr>
        <w:t>，扎实推进矛盾纠纷化解和人民参与法治工作。</w:t>
      </w:r>
      <w:r>
        <w:rPr>
          <w:rFonts w:hint="eastAsia" w:ascii="Times New Roman" w:hAnsi="Times New Roman" w:eastAsia="仿宋_GB2312" w:cs="Times New Roman"/>
          <w:color w:val="000000" w:themeColor="text1"/>
          <w:kern w:val="21"/>
          <w:sz w:val="32"/>
          <w:szCs w:val="32"/>
          <w:lang w:val="en-US" w:eastAsia="zh-CN"/>
          <w14:textFill>
            <w14:solidFill>
              <w14:schemeClr w14:val="tx1"/>
            </w14:solidFill>
          </w14:textFill>
        </w:rPr>
        <w:t>2020</w:t>
      </w:r>
      <w:r>
        <w:rPr>
          <w:rFonts w:hint="eastAsia" w:ascii="Times New Roman" w:hAnsi="Times New Roman" w:eastAsia="仿宋_GB2312" w:cs="Times New Roman"/>
          <w:kern w:val="21"/>
          <w:sz w:val="32"/>
          <w:szCs w:val="32"/>
          <w:lang w:val="en-US" w:eastAsia="zh-CN"/>
        </w:rPr>
        <w:t>年，</w:t>
      </w:r>
      <w:r>
        <w:rPr>
          <w:rFonts w:hint="eastAsia" w:ascii="Times New Roman" w:hAnsi="Times New Roman" w:eastAsia="仿宋_GB2312" w:cs="Times New Roman"/>
          <w:b w:val="0"/>
          <w:bCs w:val="0"/>
          <w:kern w:val="21"/>
          <w:sz w:val="32"/>
          <w:szCs w:val="32"/>
          <w:lang w:val="en-US" w:eastAsia="zh-CN"/>
        </w:rPr>
        <w:t>我局石东波被司法部评为“大排查、早调解、护稳定、迎国庆”专项活动表现突出个人，宋红军被评为</w:t>
      </w:r>
      <w:r>
        <w:rPr>
          <w:rFonts w:hint="eastAsia" w:ascii="Times New Roman" w:hAnsi="Times New Roman" w:eastAsia="仿宋_GB2312" w:cs="Times New Roman"/>
          <w:b w:val="0"/>
          <w:bCs w:val="0"/>
          <w:kern w:val="21"/>
          <w:sz w:val="32"/>
          <w:szCs w:val="32"/>
          <w:lang w:val="en-US" w:eastAsia="zh-CN" w:bidi="ar-SA"/>
        </w:rPr>
        <w:t>全国模范人民调解员。</w:t>
      </w:r>
      <w:r>
        <w:rPr>
          <w:rFonts w:hint="eastAsia" w:ascii="仿宋_GB2312" w:hAnsi="仿宋_GB2312" w:eastAsia="仿宋_GB2312" w:cs="仿宋_GB2312"/>
          <w:b w:val="0"/>
          <w:bCs w:val="0"/>
          <w:color w:val="000000"/>
          <w:kern w:val="0"/>
          <w:sz w:val="32"/>
          <w:szCs w:val="32"/>
          <w:lang w:val="en-US" w:eastAsia="zh-CN" w:bidi="ar"/>
        </w:rPr>
        <w:t>全省第二家河北电视台《非常帮助》调解室在我县揭牌成立。我县人民调解工作被河北省电视台所关注，人民调解员调解事迹在第四十六期《燕赵先锋》播出。</w:t>
      </w:r>
    </w:p>
    <w:p>
      <w:pPr>
        <w:pStyle w:val="8"/>
        <w:keepNext w:val="0"/>
        <w:keepLines w:val="0"/>
        <w:pageBreakBefore w:val="0"/>
        <w:kinsoku/>
        <w:wordWrap/>
        <w:overflowPunct/>
        <w:topLinePunct w:val="0"/>
        <w:autoSpaceDE/>
        <w:autoSpaceDN/>
        <w:bidi w:val="0"/>
        <w:adjustRightInd/>
        <w:snapToGrid/>
        <w:spacing w:line="600" w:lineRule="exact"/>
        <w:ind w:firstLine="640"/>
        <w:jc w:val="left"/>
        <w:textAlignment w:val="auto"/>
        <w:rPr>
          <w:rFonts w:hint="eastAsia" w:ascii="仿宋_GB2312"/>
          <w:szCs w:val="32"/>
        </w:rPr>
      </w:pPr>
      <w:r>
        <w:rPr>
          <w:rFonts w:hint="eastAsia" w:ascii="楷体" w:hAnsi="楷体" w:eastAsia="楷体" w:cs="楷体"/>
          <w:color w:val="000000" w:themeColor="text1"/>
          <w:kern w:val="21"/>
          <w:sz w:val="32"/>
          <w:szCs w:val="32"/>
          <w:lang w:val="en-US" w:eastAsia="zh-CN"/>
          <w14:textFill>
            <w14:solidFill>
              <w14:schemeClr w14:val="tx1"/>
            </w14:solidFill>
          </w14:textFill>
        </w:rPr>
        <w:t>5、社区矫正更严谨规范。</w:t>
      </w:r>
      <w:r>
        <w:rPr>
          <w:rFonts w:hint="eastAsia" w:ascii="仿宋" w:hAnsi="仿宋" w:eastAsia="仿宋" w:cs="仿宋"/>
          <w:sz w:val="32"/>
          <w:szCs w:val="32"/>
        </w:rPr>
        <w:t>以信息化建设为支撑</w:t>
      </w:r>
      <w:r>
        <w:rPr>
          <w:rFonts w:hint="eastAsia" w:ascii="仿宋" w:hAnsi="仿宋" w:eastAsia="仿宋" w:cs="仿宋"/>
          <w:sz w:val="32"/>
          <w:szCs w:val="32"/>
          <w:lang w:eastAsia="zh-CN"/>
        </w:rPr>
        <w:t>，</w:t>
      </w:r>
      <w:r>
        <w:rPr>
          <w:rFonts w:hint="eastAsia" w:ascii="仿宋" w:hAnsi="仿宋" w:eastAsia="仿宋" w:cs="仿宋"/>
          <w:sz w:val="32"/>
          <w:szCs w:val="32"/>
        </w:rPr>
        <w:t>打造规范化工作阵地</w:t>
      </w:r>
      <w:r>
        <w:rPr>
          <w:rFonts w:hint="eastAsia" w:ascii="仿宋" w:hAnsi="仿宋" w:eastAsia="仿宋" w:cs="仿宋"/>
          <w:sz w:val="32"/>
          <w:szCs w:val="32"/>
          <w:lang w:eastAsia="zh-CN"/>
        </w:rPr>
        <w:t>、</w:t>
      </w:r>
      <w:r>
        <w:rPr>
          <w:rFonts w:hint="eastAsia" w:ascii="仿宋" w:hAnsi="仿宋" w:eastAsia="仿宋" w:cs="仿宋"/>
          <w:sz w:val="32"/>
          <w:szCs w:val="32"/>
        </w:rPr>
        <w:t>信息化监管体系</w:t>
      </w:r>
      <w:r>
        <w:rPr>
          <w:rFonts w:hint="eastAsia" w:ascii="仿宋" w:hAnsi="仿宋" w:eastAsia="仿宋" w:cs="仿宋"/>
          <w:sz w:val="32"/>
          <w:szCs w:val="32"/>
          <w:lang w:eastAsia="zh-CN"/>
        </w:rPr>
        <w:t>、</w:t>
      </w:r>
      <w:r>
        <w:rPr>
          <w:rFonts w:hint="eastAsia" w:ascii="仿宋" w:hAnsi="仿宋" w:eastAsia="仿宋" w:cs="仿宋"/>
          <w:sz w:val="32"/>
          <w:szCs w:val="32"/>
        </w:rPr>
        <w:t>常态化教育模式</w:t>
      </w:r>
      <w:r>
        <w:rPr>
          <w:rFonts w:hint="eastAsia" w:ascii="仿宋" w:hAnsi="仿宋" w:eastAsia="仿宋" w:cs="仿宋"/>
          <w:sz w:val="32"/>
          <w:szCs w:val="32"/>
          <w:lang w:eastAsia="zh-CN"/>
        </w:rPr>
        <w:t>，</w:t>
      </w:r>
      <w:r>
        <w:rPr>
          <w:rFonts w:hint="eastAsia" w:ascii="仿宋_GB2312" w:hAnsi="仿宋" w:eastAsia="仿宋_GB2312" w:cs="Calibri"/>
          <w:color w:val="000000"/>
          <w:sz w:val="32"/>
          <w:szCs w:val="32"/>
        </w:rPr>
        <w:t>特殊人群</w:t>
      </w:r>
      <w:r>
        <w:rPr>
          <w:rFonts w:hint="eastAsia" w:ascii="仿宋_GB2312" w:hAnsi="仿宋" w:eastAsia="仿宋_GB2312" w:cs="Calibri"/>
          <w:color w:val="000000"/>
          <w:sz w:val="32"/>
          <w:szCs w:val="32"/>
          <w:lang w:val="en-US" w:eastAsia="zh-CN"/>
        </w:rPr>
        <w:t>实现</w:t>
      </w:r>
      <w:r>
        <w:rPr>
          <w:rFonts w:hint="eastAsia" w:ascii="仿宋" w:hAnsi="仿宋" w:eastAsia="仿宋" w:cs="仿宋"/>
          <w:sz w:val="32"/>
          <w:szCs w:val="32"/>
          <w:lang w:val="en-US" w:eastAsia="zh-CN"/>
        </w:rPr>
        <w:t>有效</w:t>
      </w:r>
      <w:r>
        <w:rPr>
          <w:rFonts w:hint="eastAsia" w:ascii="仿宋_GB2312" w:hAnsi="仿宋" w:eastAsia="仿宋_GB2312" w:cs="Calibri"/>
          <w:color w:val="000000"/>
          <w:sz w:val="32"/>
          <w:szCs w:val="32"/>
        </w:rPr>
        <w:t>管控。</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2019</w:t>
      </w:r>
      <w:r>
        <w:rPr>
          <w:rFonts w:hint="eastAsia" w:ascii="仿宋_GB2312" w:hAnsi="仿宋" w:eastAsia="仿宋_GB2312" w:cs="Calibri"/>
          <w:color w:val="000000"/>
          <w:sz w:val="32"/>
          <w:szCs w:val="32"/>
          <w:lang w:val="en-US" w:eastAsia="zh-CN"/>
        </w:rPr>
        <w:t>年，</w:t>
      </w:r>
      <w:r>
        <w:rPr>
          <w:rFonts w:hint="eastAsia" w:ascii="Times New Roman" w:hAnsi="Times New Roman" w:eastAsia="仿宋_GB2312" w:cs="Times New Roman"/>
          <w:kern w:val="21"/>
          <w:sz w:val="32"/>
          <w:szCs w:val="32"/>
          <w:lang w:eastAsia="zh-CN"/>
        </w:rPr>
        <w:t>联合中央司法警官学院</w:t>
      </w:r>
      <w:r>
        <w:rPr>
          <w:rFonts w:hint="eastAsia" w:ascii="Times New Roman" w:hAnsi="Times New Roman" w:eastAsia="仿宋_GB2312" w:cs="Times New Roman"/>
          <w:kern w:val="21"/>
          <w:sz w:val="32"/>
          <w:szCs w:val="32"/>
          <w:lang w:val="en-US" w:eastAsia="zh-CN"/>
        </w:rPr>
        <w:t>在我县</w:t>
      </w:r>
      <w:r>
        <w:rPr>
          <w:rFonts w:hint="eastAsia" w:ascii="Times New Roman" w:hAnsi="Times New Roman" w:eastAsia="仿宋_GB2312" w:cs="Times New Roman"/>
          <w:kern w:val="21"/>
          <w:sz w:val="32"/>
          <w:szCs w:val="32"/>
          <w:lang w:eastAsia="zh-CN"/>
        </w:rPr>
        <w:t>创建了教学科研实习基地，</w:t>
      </w:r>
      <w:r>
        <w:rPr>
          <w:rFonts w:hint="eastAsia" w:ascii="Times New Roman" w:hAnsi="Times New Roman" w:eastAsia="仿宋_GB2312" w:cs="Times New Roman"/>
          <w:kern w:val="21"/>
          <w:sz w:val="32"/>
          <w:szCs w:val="32"/>
          <w:lang w:val="en-US" w:eastAsia="zh-CN"/>
        </w:rPr>
        <w:t>我局被确立为“刑罚一体化”改革试点。</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2020</w:t>
      </w:r>
      <w:r>
        <w:rPr>
          <w:rFonts w:hint="eastAsia" w:ascii="仿宋_GB2312" w:hAnsi="仿宋" w:eastAsia="仿宋_GB2312" w:cs="Calibri"/>
          <w:color w:val="000000"/>
          <w:sz w:val="32"/>
          <w:szCs w:val="32"/>
          <w:lang w:val="en-US" w:eastAsia="zh-CN"/>
        </w:rPr>
        <w:t>年，</w:t>
      </w:r>
      <w:r>
        <w:rPr>
          <w:rFonts w:hint="eastAsia" w:ascii="Times New Roman" w:hAnsi="Times New Roman" w:eastAsia="仿宋_GB2312" w:cs="Times New Roman"/>
          <w:b w:val="0"/>
          <w:bCs w:val="0"/>
          <w:kern w:val="21"/>
          <w:sz w:val="32"/>
          <w:szCs w:val="32"/>
          <w:lang w:val="en-US" w:eastAsia="zh-CN"/>
        </w:rPr>
        <w:t>我局被确立为省级青少年社区矫正“彩虹计划”试点单位。</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10</w:t>
      </w:r>
      <w:r>
        <w:rPr>
          <w:rFonts w:hint="eastAsia" w:ascii="仿宋" w:hAnsi="仿宋" w:eastAsia="仿宋" w:cs="Times New Roman"/>
          <w:color w:val="000000"/>
          <w:sz w:val="32"/>
          <w:szCs w:val="32"/>
          <w:lang w:val="en-US" w:eastAsia="zh-CN"/>
        </w:rPr>
        <w:t>月，</w:t>
      </w:r>
      <w:r>
        <w:rPr>
          <w:rFonts w:hint="eastAsia" w:ascii="仿宋_GB2312" w:hAnsi="仿宋" w:eastAsia="仿宋_GB2312" w:cs="Calibri"/>
          <w:color w:val="000000"/>
          <w:sz w:val="32"/>
          <w:szCs w:val="32"/>
          <w:lang w:val="en-US" w:eastAsia="zh-CN"/>
        </w:rPr>
        <w:t>我</w:t>
      </w:r>
      <w:r>
        <w:rPr>
          <w:rFonts w:hint="eastAsia" w:ascii="仿宋_GB2312" w:hAnsi="仿宋" w:eastAsia="仿宋_GB2312" w:cs="Calibri"/>
          <w:color w:val="000000"/>
          <w:sz w:val="32"/>
          <w:szCs w:val="32"/>
        </w:rPr>
        <w:t>局社区矫正股</w:t>
      </w:r>
      <w:r>
        <w:rPr>
          <w:rFonts w:hint="eastAsia" w:ascii="仿宋_GB2312" w:hAnsi="仿宋" w:eastAsia="仿宋_GB2312" w:cs="Calibri"/>
          <w:color w:val="000000"/>
          <w:sz w:val="32"/>
          <w:szCs w:val="32"/>
          <w:lang w:val="en-US" w:eastAsia="zh-CN"/>
        </w:rPr>
        <w:t>被评为</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2019</w:t>
      </w:r>
      <w:r>
        <w:rPr>
          <w:rFonts w:hint="eastAsia" w:ascii="仿宋" w:hAnsi="仿宋" w:eastAsia="仿宋" w:cs="仿宋"/>
          <w:b w:val="0"/>
          <w:bCs w:val="0"/>
          <w:sz w:val="32"/>
          <w:szCs w:val="32"/>
          <w:lang w:val="en-US" w:eastAsia="zh-CN"/>
        </w:rPr>
        <w:t>年度邢台市“优秀青少年维权岗”，</w:t>
      </w:r>
      <w:r>
        <w:rPr>
          <w:rFonts w:hint="eastAsia" w:ascii="仿宋_GB2312" w:hAnsi="仿宋_GB2312" w:eastAsia="仿宋_GB2312" w:cs="仿宋_GB2312"/>
          <w:sz w:val="32"/>
          <w:szCs w:val="32"/>
        </w:rPr>
        <w:t>程士强</w:t>
      </w:r>
      <w:r>
        <w:rPr>
          <w:rFonts w:hint="eastAsia" w:ascii="仿宋_GB2312" w:hAnsi="仿宋_GB2312" w:eastAsia="仿宋_GB2312" w:cs="仿宋_GB2312"/>
          <w:sz w:val="32"/>
          <w:szCs w:val="32"/>
          <w:lang w:val="en-US" w:eastAsia="zh-CN"/>
        </w:rPr>
        <w:t>被评为</w:t>
      </w:r>
      <w:r>
        <w:rPr>
          <w:rFonts w:hint="eastAsia" w:ascii="仿宋_GB2312" w:hAnsi="仿宋" w:eastAsia="仿宋_GB2312" w:cs="Calibri"/>
          <w:color w:val="000000"/>
          <w:sz w:val="32"/>
          <w:szCs w:val="32"/>
        </w:rPr>
        <w:t>邢台市“青少年维权先进个人”</w:t>
      </w:r>
      <w:r>
        <w:rPr>
          <w:rFonts w:hint="eastAsia" w:ascii="仿宋_GB2312" w:hAnsi="仿宋" w:eastAsia="仿宋_GB2312" w:cs="Calibri"/>
          <w:color w:val="000000"/>
          <w:sz w:val="32"/>
          <w:szCs w:val="32"/>
          <w:lang w:val="en-US" w:eastAsia="zh-CN"/>
        </w:rPr>
        <w:t>。</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2020</w:t>
      </w:r>
      <w:r>
        <w:rPr>
          <w:rFonts w:hint="eastAsia" w:ascii="仿宋_GB2312" w:hAnsi="仿宋" w:eastAsia="仿宋_GB2312" w:cs="Calibri"/>
          <w:color w:val="000000"/>
          <w:sz w:val="32"/>
          <w:szCs w:val="32"/>
          <w:lang w:val="en-US" w:eastAsia="zh-CN"/>
        </w:rPr>
        <w:t>年，</w:t>
      </w:r>
      <w:r>
        <w:rPr>
          <w:rFonts w:hint="eastAsia" w:ascii="仿宋" w:hAnsi="仿宋" w:eastAsia="仿宋" w:cs="Times New Roman"/>
          <w:sz w:val="32"/>
          <w:szCs w:val="32"/>
        </w:rPr>
        <w:t>共接收社区矫正对</w:t>
      </w:r>
      <w:r>
        <w:rPr>
          <w:rFonts w:hint="eastAsia" w:ascii="仿宋" w:hAnsi="仿宋" w:eastAsia="仿宋" w:cs="Times New Roman"/>
          <w:color w:val="auto"/>
          <w:sz w:val="32"/>
          <w:szCs w:val="32"/>
        </w:rPr>
        <w:t>象</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118</w:t>
      </w:r>
      <w:r>
        <w:rPr>
          <w:rFonts w:hint="eastAsia" w:ascii="仿宋" w:hAnsi="仿宋" w:eastAsia="仿宋" w:cs="Times New Roman"/>
          <w:color w:val="auto"/>
          <w:sz w:val="32"/>
          <w:szCs w:val="32"/>
        </w:rPr>
        <w:t>人，解矫</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172</w:t>
      </w:r>
      <w:r>
        <w:rPr>
          <w:rFonts w:hint="eastAsia" w:ascii="仿宋" w:hAnsi="仿宋" w:eastAsia="仿宋" w:cs="Times New Roman"/>
          <w:color w:val="auto"/>
          <w:sz w:val="32"/>
          <w:szCs w:val="32"/>
        </w:rPr>
        <w:t>人，</w:t>
      </w:r>
      <w:r>
        <w:rPr>
          <w:rFonts w:hint="eastAsia" w:ascii="仿宋" w:hAnsi="仿宋" w:eastAsia="仿宋" w:cs="Times New Roman"/>
          <w:color w:val="auto"/>
          <w:sz w:val="32"/>
          <w:szCs w:val="32"/>
          <w:lang w:val="en-US" w:eastAsia="zh-CN"/>
        </w:rPr>
        <w:t>在矫</w:t>
      </w:r>
      <w:r>
        <w:rPr>
          <w:rFonts w:hint="eastAsia" w:ascii="Times New Roman" w:hAnsi="Times New Roman" w:eastAsia="仿宋_GB2312" w:cs="Times New Roman"/>
          <w:color w:val="000000" w:themeColor="text1"/>
          <w:kern w:val="21"/>
          <w:sz w:val="32"/>
          <w:szCs w:val="32"/>
          <w:lang w:val="en-US" w:eastAsia="zh-CN" w:bidi="ar-SA"/>
          <w14:textFill>
            <w14:solidFill>
              <w14:schemeClr w14:val="tx1"/>
            </w14:solidFill>
          </w14:textFill>
        </w:rPr>
        <w:t>222</w:t>
      </w:r>
      <w:r>
        <w:rPr>
          <w:rFonts w:hint="eastAsia" w:ascii="仿宋" w:hAnsi="仿宋" w:eastAsia="仿宋" w:cs="Times New Roman"/>
          <w:color w:val="auto"/>
          <w:sz w:val="32"/>
          <w:szCs w:val="32"/>
          <w:lang w:val="en-US" w:eastAsia="zh-CN"/>
        </w:rPr>
        <w:t>人</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在矫期间，</w:t>
      </w:r>
      <w:r>
        <w:rPr>
          <w:rFonts w:hint="eastAsia" w:ascii="仿宋" w:hAnsi="仿宋" w:eastAsia="仿宋" w:cs="Times New Roman"/>
          <w:color w:val="000000"/>
          <w:sz w:val="32"/>
          <w:szCs w:val="32"/>
        </w:rPr>
        <w:t>无一人重新违法犯罪</w:t>
      </w:r>
      <w:r>
        <w:rPr>
          <w:rFonts w:hint="eastAsia" w:ascii="仿宋" w:hAnsi="仿宋" w:eastAsia="仿宋" w:cs="Times New Roman"/>
          <w:color w:val="000000"/>
          <w:sz w:val="32"/>
          <w:szCs w:val="32"/>
          <w:lang w:eastAsia="zh-CN"/>
        </w:rPr>
        <w:t>，</w:t>
      </w:r>
      <w:r>
        <w:rPr>
          <w:rFonts w:hint="eastAsia" w:ascii="仿宋" w:hAnsi="仿宋" w:eastAsia="仿宋" w:cs="Times New Roman"/>
          <w:color w:val="000000"/>
          <w:sz w:val="32"/>
          <w:szCs w:val="32"/>
          <w:lang w:val="en-US" w:eastAsia="zh-CN"/>
        </w:rPr>
        <w:t>有效维护社会稳定</w:t>
      </w:r>
      <w:r>
        <w:rPr>
          <w:rFonts w:hint="eastAsia" w:ascii="仿宋" w:hAnsi="仿宋" w:eastAsia="仿宋" w:cs="Times New Roman"/>
          <w:sz w:val="32"/>
          <w:szCs w:val="32"/>
        </w:rPr>
        <w:t>。</w:t>
      </w:r>
    </w:p>
    <w:p>
      <w:pPr>
        <w:pStyle w:val="4"/>
        <w:spacing w:before="0" w:beforeAutospacing="0" w:after="0" w:afterAutospacing="0" w:line="493" w:lineRule="atLeast"/>
        <w:ind w:firstLine="643" w:firstLineChars="200"/>
        <w:rPr>
          <w:rFonts w:ascii="仿宋" w:hAnsi="仿宋" w:eastAsia="仿宋" w:cstheme="minorBidi"/>
          <w:b/>
          <w:color w:val="000000"/>
          <w:sz w:val="32"/>
          <w:szCs w:val="32"/>
          <w:highlight w:val="none"/>
        </w:rPr>
      </w:pPr>
      <w:r>
        <w:rPr>
          <w:rFonts w:hint="eastAsia" w:ascii="仿宋" w:hAnsi="仿宋" w:eastAsia="仿宋" w:cstheme="minorBidi"/>
          <w:b/>
          <w:color w:val="000000"/>
          <w:sz w:val="32"/>
          <w:szCs w:val="32"/>
          <w:highlight w:val="none"/>
        </w:rPr>
        <w:t>四、部门整体支出绩效目标</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1.产出指标完成情况分析</w:t>
      </w:r>
      <w:r>
        <w:rPr>
          <w:rFonts w:hint="eastAsia" w:ascii="仿宋_GB2312" w:hAnsi="黑体" w:eastAsia="仿宋_GB2312"/>
          <w:sz w:val="32"/>
          <w:szCs w:val="32"/>
          <w:lang w:eastAsia="zh-CN"/>
        </w:rPr>
        <w:t>：已全面完成年初各项预算目标</w:t>
      </w:r>
      <w:r>
        <w:rPr>
          <w:rFonts w:hint="eastAsia" w:ascii="仿宋_GB2312" w:hAnsi="黑体" w:eastAsia="仿宋_GB2312"/>
          <w:sz w:val="32"/>
          <w:szCs w:val="32"/>
        </w:rPr>
        <w:t>。</w:t>
      </w:r>
    </w:p>
    <w:p>
      <w:pPr>
        <w:adjustRightInd w:val="0"/>
        <w:spacing w:line="600" w:lineRule="exact"/>
        <w:ind w:firstLine="640"/>
        <w:rPr>
          <w:rFonts w:hint="eastAsia" w:ascii="仿宋_GB2312"/>
          <w:szCs w:val="32"/>
          <w:lang w:val="en-US" w:eastAsia="zh-CN"/>
        </w:rPr>
      </w:pPr>
      <w:r>
        <w:rPr>
          <w:rFonts w:hint="eastAsia" w:ascii="仿宋_GB2312" w:hAnsi="黑体" w:eastAsia="仿宋_GB2312"/>
          <w:sz w:val="32"/>
          <w:szCs w:val="32"/>
        </w:rPr>
        <w:t>（1）数量指标。</w:t>
      </w:r>
      <w:r>
        <w:rPr>
          <w:rFonts w:hint="eastAsia" w:ascii="仿宋_GB2312" w:hAnsi="黑体" w:eastAsia="仿宋_GB2312"/>
          <w:sz w:val="32"/>
          <w:szCs w:val="32"/>
          <w:lang w:val="en-US" w:eastAsia="zh-CN"/>
        </w:rPr>
        <w:t>1.</w:t>
      </w:r>
      <w:r>
        <w:rPr>
          <w:rFonts w:hint="eastAsia" w:ascii="仿宋_GB2312" w:hAnsi="黑体" w:eastAsia="仿宋_GB2312"/>
          <w:sz w:val="32"/>
          <w:szCs w:val="32"/>
        </w:rPr>
        <w:t>开展主题宣传活动次数</w:t>
      </w:r>
      <w:r>
        <w:rPr>
          <w:rFonts w:hint="eastAsia" w:ascii="仿宋_GB2312" w:hAnsi="黑体" w:eastAsia="仿宋_GB2312"/>
          <w:sz w:val="32"/>
          <w:szCs w:val="32"/>
          <w:lang w:val="en-US" w:eastAsia="zh-CN"/>
        </w:rPr>
        <w:t>年度绩效指标大于等于3次，20</w:t>
      </w:r>
      <w:r>
        <w:rPr>
          <w:rFonts w:hint="eastAsia" w:ascii="仿宋_GB2312" w:hAnsi="黑体"/>
          <w:sz w:val="32"/>
          <w:szCs w:val="32"/>
          <w:lang w:val="en-US" w:eastAsia="zh-CN"/>
        </w:rPr>
        <w:t>20</w:t>
      </w:r>
      <w:r>
        <w:rPr>
          <w:rFonts w:hint="eastAsia" w:ascii="仿宋_GB2312" w:hAnsi="黑体" w:eastAsia="仿宋_GB2312"/>
          <w:sz w:val="32"/>
          <w:szCs w:val="32"/>
          <w:lang w:val="en-US" w:eastAsia="zh-CN"/>
        </w:rPr>
        <w:t>年度完成</w:t>
      </w:r>
      <w:r>
        <w:rPr>
          <w:rFonts w:hint="eastAsia" w:ascii="仿宋_GB2312" w:hAnsi="黑体"/>
          <w:sz w:val="32"/>
          <w:szCs w:val="32"/>
          <w:lang w:val="en-US" w:eastAsia="zh-CN"/>
        </w:rPr>
        <w:t>8</w:t>
      </w:r>
      <w:r>
        <w:rPr>
          <w:rFonts w:hint="eastAsia" w:ascii="仿宋_GB2312" w:hAnsi="黑体" w:eastAsia="仿宋_GB2312"/>
          <w:sz w:val="32"/>
          <w:szCs w:val="32"/>
          <w:lang w:val="en-US" w:eastAsia="zh-CN"/>
        </w:rPr>
        <w:t>次；</w:t>
      </w:r>
      <w:r>
        <w:rPr>
          <w:rFonts w:hint="eastAsia" w:ascii="仿宋_GB2312"/>
          <w:szCs w:val="32"/>
          <w:lang w:val="en-US" w:eastAsia="zh-CN"/>
        </w:rPr>
        <w:t>2.法律援助案件受理数量年度绩效指标大于等于120件，2020年度内完成224件；3.推选新的民主法治示范村全年实际完成3个；4.人民调解案件总数全年实际完成2000件，高于标准值1800。</w:t>
      </w:r>
    </w:p>
    <w:p>
      <w:pPr>
        <w:adjustRightInd w:val="0"/>
        <w:spacing w:line="600" w:lineRule="exact"/>
        <w:ind w:firstLine="640"/>
        <w:rPr>
          <w:rFonts w:hint="eastAsia" w:ascii="仿宋_GB2312" w:hAnsi="黑体" w:eastAsia="仿宋_GB2312"/>
          <w:sz w:val="32"/>
          <w:szCs w:val="32"/>
          <w:lang w:val="en-US" w:eastAsia="zh-CN"/>
        </w:rPr>
      </w:pPr>
      <w:r>
        <w:rPr>
          <w:rFonts w:hint="eastAsia" w:ascii="仿宋_GB2312" w:hAnsi="黑体" w:eastAsia="仿宋_GB2312"/>
          <w:sz w:val="32"/>
          <w:szCs w:val="32"/>
        </w:rPr>
        <w:t>（2）质量指标。</w:t>
      </w:r>
      <w:r>
        <w:rPr>
          <w:rFonts w:hint="eastAsia" w:ascii="仿宋_GB2312"/>
          <w:szCs w:val="32"/>
          <w:lang w:val="en-US" w:eastAsia="zh-CN"/>
        </w:rPr>
        <w:t>1.刑满释放人员安置帮教率100%；2.购置业务设备合格率2020年度达到100%；3.公共法律服务实施标准覆盖率2020年度已达成100%；4.会议系统等设备保障率2020年度已达成100%；5.司法鉴定机构抽检率2020年度达到10%。</w:t>
      </w:r>
    </w:p>
    <w:p>
      <w:pPr>
        <w:adjustRightInd w:val="0"/>
        <w:spacing w:line="600" w:lineRule="exact"/>
        <w:ind w:firstLine="640"/>
        <w:rPr>
          <w:rFonts w:hint="eastAsia" w:ascii="仿宋_GB2312" w:hAnsi="黑体" w:eastAsia="仿宋_GB2312"/>
          <w:sz w:val="32"/>
          <w:szCs w:val="32"/>
          <w:lang w:val="en-US" w:eastAsia="zh-CN"/>
        </w:rPr>
      </w:pPr>
      <w:r>
        <w:rPr>
          <w:rFonts w:hint="eastAsia" w:ascii="仿宋_GB2312" w:hAnsi="黑体" w:eastAsia="仿宋_GB2312"/>
          <w:sz w:val="32"/>
          <w:szCs w:val="32"/>
        </w:rPr>
        <w:t>（3）时效指标。法律文书审查办结率</w:t>
      </w:r>
      <w:r>
        <w:rPr>
          <w:rFonts w:hint="eastAsia" w:ascii="仿宋_GB2312" w:hAnsi="黑体" w:eastAsia="仿宋_GB2312"/>
          <w:sz w:val="32"/>
          <w:szCs w:val="32"/>
          <w:lang w:eastAsia="zh-CN"/>
        </w:rPr>
        <w:t>、</w:t>
      </w:r>
      <w:r>
        <w:rPr>
          <w:rFonts w:hint="eastAsia" w:ascii="仿宋_GB2312" w:hAnsi="黑体" w:eastAsia="仿宋_GB2312"/>
          <w:sz w:val="32"/>
          <w:szCs w:val="32"/>
        </w:rPr>
        <w:t>行政复议案件办结率</w:t>
      </w:r>
      <w:r>
        <w:rPr>
          <w:rFonts w:hint="eastAsia" w:ascii="仿宋_GB2312" w:hAnsi="黑体" w:eastAsia="仿宋_GB2312"/>
          <w:sz w:val="32"/>
          <w:szCs w:val="32"/>
          <w:lang w:eastAsia="zh-CN"/>
        </w:rPr>
        <w:t>均达到</w:t>
      </w:r>
      <w:r>
        <w:rPr>
          <w:rFonts w:hint="eastAsia" w:ascii="仿宋_GB2312" w:hAnsi="黑体" w:eastAsia="仿宋_GB2312"/>
          <w:sz w:val="32"/>
          <w:szCs w:val="32"/>
          <w:lang w:val="en-US" w:eastAsia="zh-CN"/>
        </w:rPr>
        <w:t>100%的年度绩效指标；法律援助案件办结率年度绩效指标要求大于等于90%，20</w:t>
      </w:r>
      <w:r>
        <w:rPr>
          <w:rFonts w:hint="eastAsia" w:ascii="仿宋_GB2312" w:hAnsi="黑体"/>
          <w:sz w:val="32"/>
          <w:szCs w:val="32"/>
          <w:lang w:val="en-US" w:eastAsia="zh-CN"/>
        </w:rPr>
        <w:t>20</w:t>
      </w:r>
      <w:r>
        <w:rPr>
          <w:rFonts w:hint="eastAsia" w:ascii="仿宋_GB2312" w:hAnsi="黑体" w:eastAsia="仿宋_GB2312"/>
          <w:sz w:val="32"/>
          <w:szCs w:val="32"/>
          <w:lang w:val="en-US" w:eastAsia="zh-CN"/>
        </w:rPr>
        <w:t>年度达到100%。</w:t>
      </w:r>
    </w:p>
    <w:p>
      <w:pPr>
        <w:adjustRightInd w:val="0"/>
        <w:spacing w:line="600" w:lineRule="exact"/>
        <w:ind w:firstLine="640"/>
        <w:rPr>
          <w:rFonts w:hint="eastAsia" w:ascii="仿宋_GB2312" w:hAnsi="黑体" w:eastAsia="仿宋_GB2312"/>
          <w:sz w:val="32"/>
          <w:szCs w:val="32"/>
          <w:lang w:eastAsia="zh-CN"/>
        </w:rPr>
      </w:pPr>
      <w:r>
        <w:rPr>
          <w:rFonts w:hint="eastAsia" w:ascii="仿宋_GB2312" w:hAnsi="黑体" w:eastAsia="仿宋_GB2312"/>
          <w:sz w:val="32"/>
          <w:szCs w:val="32"/>
        </w:rPr>
        <w:t>（4）成本指标。业务维修、司法行政机关业务用房和司法所维修成本</w:t>
      </w:r>
      <w:r>
        <w:rPr>
          <w:rFonts w:hint="eastAsia" w:ascii="仿宋_GB2312" w:hAnsi="黑体" w:eastAsia="仿宋_GB2312"/>
          <w:sz w:val="32"/>
          <w:szCs w:val="32"/>
          <w:lang w:eastAsia="zh-CN"/>
        </w:rPr>
        <w:t>，均控制在预算确定的成本内。</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2.效益指标完成情况分析。</w:t>
      </w:r>
    </w:p>
    <w:p>
      <w:pPr>
        <w:adjustRightInd w:val="0"/>
        <w:spacing w:line="600" w:lineRule="exact"/>
        <w:ind w:firstLine="640"/>
        <w:rPr>
          <w:rFonts w:hint="eastAsia" w:ascii="仿宋_GB2312" w:hAnsi="黑体" w:eastAsia="仿宋_GB2312"/>
          <w:sz w:val="32"/>
          <w:szCs w:val="32"/>
          <w:lang w:eastAsia="zh-CN"/>
        </w:rPr>
      </w:pPr>
      <w:r>
        <w:rPr>
          <w:rFonts w:hint="eastAsia" w:ascii="仿宋_GB2312" w:hAnsi="黑体" w:eastAsia="仿宋_GB2312"/>
          <w:sz w:val="32"/>
          <w:szCs w:val="32"/>
        </w:rPr>
        <w:t>（1）经济效益。</w:t>
      </w:r>
      <w:r>
        <w:rPr>
          <w:rFonts w:hint="eastAsia" w:ascii="仿宋_GB2312" w:hAnsi="黑体" w:eastAsia="仿宋_GB2312"/>
          <w:sz w:val="32"/>
          <w:szCs w:val="32"/>
          <w:lang w:val="en-US" w:eastAsia="zh-CN"/>
        </w:rPr>
        <w:t>20</w:t>
      </w:r>
      <w:r>
        <w:rPr>
          <w:rFonts w:hint="eastAsia" w:ascii="仿宋_GB2312" w:hAnsi="黑体"/>
          <w:sz w:val="32"/>
          <w:szCs w:val="32"/>
          <w:lang w:val="en-US" w:eastAsia="zh-CN"/>
        </w:rPr>
        <w:t>20</w:t>
      </w:r>
      <w:r>
        <w:rPr>
          <w:rFonts w:hint="eastAsia" w:ascii="仿宋_GB2312" w:hAnsi="黑体" w:eastAsia="仿宋_GB2312"/>
          <w:sz w:val="32"/>
          <w:szCs w:val="32"/>
          <w:lang w:val="en-US" w:eastAsia="zh-CN"/>
        </w:rPr>
        <w:t>年度展开的宪法知识普及取得显著效果，</w:t>
      </w:r>
      <w:r>
        <w:rPr>
          <w:rFonts w:hint="eastAsia" w:ascii="仿宋_GB2312" w:hAnsi="黑体" w:eastAsia="仿宋_GB2312"/>
          <w:sz w:val="32"/>
          <w:szCs w:val="32"/>
        </w:rPr>
        <w:t>群众对宪法知识知晓率</w:t>
      </w:r>
      <w:r>
        <w:rPr>
          <w:rFonts w:hint="eastAsia" w:ascii="仿宋_GB2312" w:hAnsi="黑体" w:eastAsia="仿宋_GB2312"/>
          <w:sz w:val="32"/>
          <w:szCs w:val="32"/>
          <w:lang w:val="en-US" w:eastAsia="zh-CN"/>
        </w:rPr>
        <w:t>大于等于</w:t>
      </w:r>
      <w:r>
        <w:rPr>
          <w:rFonts w:hint="eastAsia" w:ascii="仿宋_GB2312" w:hAnsi="黑体" w:eastAsia="仿宋_GB2312"/>
          <w:sz w:val="32"/>
          <w:szCs w:val="32"/>
        </w:rPr>
        <w:t>80%</w:t>
      </w:r>
      <w:r>
        <w:rPr>
          <w:rFonts w:hint="eastAsia" w:ascii="仿宋_GB2312" w:hAnsi="黑体" w:eastAsia="仿宋_GB2312"/>
          <w:sz w:val="32"/>
          <w:szCs w:val="32"/>
          <w:lang w:eastAsia="zh-CN"/>
        </w:rPr>
        <w:t>。</w:t>
      </w:r>
    </w:p>
    <w:p>
      <w:pPr>
        <w:ind w:firstLine="640" w:firstLineChars="200"/>
        <w:rPr>
          <w:rFonts w:hint="eastAsia" w:ascii="仿宋_GB2312" w:hAnsi="黑体" w:eastAsia="仿宋_GB2312"/>
          <w:sz w:val="32"/>
          <w:szCs w:val="32"/>
          <w:lang w:eastAsia="zh-CN"/>
        </w:rPr>
      </w:pPr>
      <w:r>
        <w:rPr>
          <w:rFonts w:hint="eastAsia" w:ascii="仿宋_GB2312" w:hAnsi="黑体" w:eastAsia="仿宋_GB2312"/>
          <w:sz w:val="32"/>
          <w:szCs w:val="32"/>
        </w:rPr>
        <w:t>（2）社会效益。</w:t>
      </w:r>
      <w:r>
        <w:rPr>
          <w:rFonts w:hint="eastAsia" w:ascii="仿宋_GB2312"/>
          <w:szCs w:val="32"/>
          <w:lang w:val="en-US" w:eastAsia="zh-CN"/>
        </w:rPr>
        <w:t>社区矫正人员重新犯罪率达到年度绩效指标0.15%以下，2020年度无重新犯罪人员。</w:t>
      </w:r>
    </w:p>
    <w:p>
      <w:pPr>
        <w:adjustRightInd w:val="0"/>
        <w:spacing w:line="600" w:lineRule="exact"/>
        <w:ind w:firstLine="640"/>
        <w:rPr>
          <w:rFonts w:hint="eastAsia" w:ascii="仿宋_GB2312" w:hAnsi="黑体" w:eastAsia="仿宋_GB2312"/>
          <w:sz w:val="32"/>
          <w:szCs w:val="32"/>
          <w:lang w:eastAsia="zh-CN"/>
        </w:rPr>
      </w:pPr>
      <w:r>
        <w:rPr>
          <w:rFonts w:hint="eastAsia" w:ascii="仿宋_GB2312" w:hAnsi="黑体" w:eastAsia="仿宋_GB2312"/>
          <w:sz w:val="32"/>
          <w:szCs w:val="32"/>
        </w:rPr>
        <w:t>（3）可持续影响。</w:t>
      </w:r>
      <w:r>
        <w:rPr>
          <w:rFonts w:hint="eastAsia" w:ascii="仿宋_GB2312" w:hAnsi="黑体" w:eastAsia="仿宋_GB2312"/>
          <w:sz w:val="32"/>
          <w:szCs w:val="32"/>
          <w:lang w:val="en-US" w:eastAsia="zh-CN"/>
        </w:rPr>
        <w:t>严格落实民间矛盾纠纷排调制度，健全防范机制，</w:t>
      </w:r>
      <w:r>
        <w:rPr>
          <w:rFonts w:hint="eastAsia" w:ascii="仿宋_GB2312" w:hAnsi="黑体" w:eastAsia="仿宋_GB2312"/>
          <w:sz w:val="32"/>
          <w:szCs w:val="32"/>
          <w:lang w:val="zh-CN" w:eastAsia="zh-CN"/>
        </w:rPr>
        <w:t>竭力把矛盾纠纷消灭在萌芽状态，因此</w:t>
      </w:r>
      <w:r>
        <w:rPr>
          <w:rFonts w:hint="eastAsia" w:ascii="仿宋_GB2312" w:hAnsi="黑体" w:eastAsia="仿宋_GB2312"/>
          <w:sz w:val="32"/>
          <w:szCs w:val="32"/>
        </w:rPr>
        <w:t>调解成功率</w:t>
      </w:r>
      <w:r>
        <w:rPr>
          <w:rFonts w:hint="eastAsia" w:ascii="仿宋_GB2312" w:hAnsi="黑体" w:eastAsia="仿宋_GB2312"/>
          <w:sz w:val="32"/>
          <w:szCs w:val="32"/>
          <w:lang w:eastAsia="zh-CN"/>
        </w:rPr>
        <w:t>高达</w:t>
      </w:r>
      <w:r>
        <w:rPr>
          <w:rFonts w:hint="eastAsia" w:ascii="仿宋_GB2312" w:hAnsi="黑体" w:eastAsia="仿宋_GB2312"/>
          <w:sz w:val="32"/>
          <w:szCs w:val="32"/>
        </w:rPr>
        <w:t>99%</w:t>
      </w:r>
      <w:r>
        <w:rPr>
          <w:rFonts w:hint="eastAsia" w:ascii="仿宋_GB2312" w:hAnsi="黑体" w:eastAsia="仿宋_GB2312"/>
          <w:sz w:val="32"/>
          <w:szCs w:val="32"/>
          <w:lang w:eastAsia="zh-CN"/>
        </w:rPr>
        <w:t>；</w:t>
      </w:r>
      <w:r>
        <w:rPr>
          <w:rFonts w:hint="eastAsia" w:ascii="仿宋_GB2312" w:hAnsi="黑体" w:eastAsia="仿宋_GB2312"/>
          <w:sz w:val="32"/>
          <w:szCs w:val="32"/>
          <w:lang w:val="en-US" w:eastAsia="zh-CN"/>
        </w:rPr>
        <w:t>今年以来共办理法律援助案件</w:t>
      </w:r>
      <w:r>
        <w:rPr>
          <w:rFonts w:hint="eastAsia" w:ascii="仿宋_GB2312" w:eastAsia="仿宋_GB2312"/>
          <w:color w:val="000000" w:themeColor="text1"/>
          <w:sz w:val="32"/>
          <w:szCs w:val="32"/>
          <w14:textFill>
            <w14:solidFill>
              <w14:schemeClr w14:val="tx1"/>
            </w14:solidFill>
          </w14:textFill>
        </w:rPr>
        <w:t>224</w:t>
      </w:r>
      <w:r>
        <w:rPr>
          <w:rFonts w:hint="eastAsia" w:ascii="仿宋_GB2312" w:hAnsi="黑体" w:eastAsia="仿宋_GB2312"/>
          <w:sz w:val="32"/>
          <w:szCs w:val="32"/>
          <w:lang w:val="en-US" w:eastAsia="zh-CN"/>
        </w:rPr>
        <w:t>件，</w:t>
      </w:r>
      <w:r>
        <w:rPr>
          <w:rFonts w:hint="eastAsia" w:ascii="仿宋_GB2312" w:eastAsia="仿宋_GB2312"/>
          <w:color w:val="000000" w:themeColor="text1"/>
          <w:sz w:val="32"/>
          <w:szCs w:val="32"/>
          <w14:textFill>
            <w14:solidFill>
              <w14:schemeClr w14:val="tx1"/>
            </w14:solidFill>
          </w14:textFill>
        </w:rPr>
        <w:t>为困难群众提供法律咨询服务1262件</w:t>
      </w:r>
      <w:r>
        <w:rPr>
          <w:rFonts w:hint="eastAsia" w:ascii="仿宋_GB2312" w:hAnsi="黑体" w:eastAsia="仿宋_GB2312"/>
          <w:sz w:val="32"/>
          <w:szCs w:val="32"/>
          <w:lang w:val="en-US" w:eastAsia="zh-CN"/>
        </w:rPr>
        <w:t>，且</w:t>
      </w:r>
      <w:r>
        <w:rPr>
          <w:rFonts w:hint="eastAsia" w:ascii="仿宋_GB2312" w:hAnsi="黑体" w:eastAsia="仿宋_GB2312"/>
          <w:sz w:val="32"/>
          <w:szCs w:val="32"/>
          <w:lang w:eastAsia="zh-CN"/>
        </w:rPr>
        <w:t>案件受援人投诉率</w:t>
      </w:r>
      <w:r>
        <w:rPr>
          <w:rFonts w:hint="eastAsia" w:ascii="仿宋_GB2312" w:hAnsi="黑体" w:eastAsia="仿宋_GB2312"/>
          <w:sz w:val="32"/>
          <w:szCs w:val="32"/>
          <w:lang w:val="en-US" w:eastAsia="zh-CN"/>
        </w:rPr>
        <w:t>在</w:t>
      </w:r>
      <w:r>
        <w:rPr>
          <w:rFonts w:hint="eastAsia" w:ascii="仿宋_GB2312" w:hAnsi="黑体" w:eastAsia="仿宋_GB2312"/>
          <w:sz w:val="32"/>
          <w:szCs w:val="32"/>
          <w:lang w:eastAsia="zh-CN"/>
        </w:rPr>
        <w:t>5%以下。</w:t>
      </w:r>
    </w:p>
    <w:p>
      <w:pPr>
        <w:adjustRightInd w:val="0"/>
        <w:spacing w:line="600" w:lineRule="exact"/>
        <w:ind w:firstLine="640"/>
        <w:rPr>
          <w:rFonts w:hint="eastAsia" w:ascii="仿宋_GB2312" w:hAnsi="黑体" w:eastAsia="仿宋_GB2312"/>
          <w:sz w:val="32"/>
          <w:szCs w:val="32"/>
          <w:lang w:eastAsia="zh-CN"/>
        </w:rPr>
      </w:pPr>
      <w:r>
        <w:rPr>
          <w:rFonts w:hint="eastAsia" w:ascii="仿宋_GB2312" w:hAnsi="黑体" w:eastAsia="仿宋_GB2312"/>
          <w:sz w:val="32"/>
          <w:szCs w:val="32"/>
        </w:rPr>
        <w:t>3.满意度指标完成情况分析。</w:t>
      </w:r>
      <w:r>
        <w:rPr>
          <w:rFonts w:hint="eastAsia" w:ascii="仿宋_GB2312" w:hAnsi="黑体" w:eastAsia="仿宋_GB2312"/>
          <w:sz w:val="32"/>
          <w:szCs w:val="32"/>
          <w:lang w:val="en-US" w:eastAsia="zh-CN"/>
        </w:rPr>
        <w:t>通过进校园、进企业、进单位、进乡村等，宣传法律知识，增强法治观念，推动全县法治建设健康开展，</w:t>
      </w:r>
      <w:r>
        <w:rPr>
          <w:rFonts w:hint="eastAsia" w:ascii="仿宋_GB2312" w:hAnsi="黑体" w:eastAsia="仿宋_GB2312"/>
          <w:sz w:val="32"/>
          <w:szCs w:val="32"/>
        </w:rPr>
        <w:t>普法宣传对象满意度</w:t>
      </w:r>
      <w:r>
        <w:rPr>
          <w:rFonts w:hint="eastAsia" w:ascii="仿宋_GB2312" w:hAnsi="黑体" w:eastAsia="仿宋_GB2312"/>
          <w:sz w:val="32"/>
          <w:szCs w:val="32"/>
          <w:lang w:val="en-US" w:eastAsia="zh-CN"/>
        </w:rPr>
        <w:t>大于等于</w:t>
      </w:r>
      <w:r>
        <w:rPr>
          <w:rFonts w:hint="eastAsia" w:ascii="仿宋_GB2312" w:hAnsi="黑体" w:eastAsia="仿宋_GB2312"/>
          <w:sz w:val="32"/>
          <w:szCs w:val="32"/>
        </w:rPr>
        <w:t>90%</w:t>
      </w:r>
      <w:r>
        <w:rPr>
          <w:rFonts w:hint="eastAsia" w:ascii="仿宋_GB2312" w:hAnsi="黑体" w:eastAsia="仿宋_GB2312"/>
          <w:sz w:val="32"/>
          <w:szCs w:val="32"/>
          <w:lang w:eastAsia="zh-CN"/>
        </w:rPr>
        <w:t>。</w:t>
      </w:r>
    </w:p>
    <w:p>
      <w:pPr>
        <w:adjustRightInd w:val="0"/>
        <w:spacing w:line="600" w:lineRule="exact"/>
        <w:ind w:firstLine="640"/>
        <w:rPr>
          <w:rFonts w:hint="eastAsia" w:ascii="仿宋" w:hAnsi="仿宋" w:eastAsia="仿宋" w:cstheme="minorBidi"/>
          <w:b/>
          <w:color w:val="000000"/>
          <w:kern w:val="0"/>
          <w:sz w:val="32"/>
          <w:szCs w:val="32"/>
          <w:highlight w:val="none"/>
          <w:lang w:val="en-US" w:eastAsia="zh-CN" w:bidi="ar-SA"/>
        </w:rPr>
      </w:pPr>
      <w:r>
        <w:rPr>
          <w:rFonts w:hint="eastAsia" w:ascii="仿宋" w:hAnsi="仿宋" w:eastAsia="仿宋" w:cstheme="minorBidi"/>
          <w:b/>
          <w:color w:val="000000"/>
          <w:kern w:val="0"/>
          <w:sz w:val="32"/>
          <w:szCs w:val="32"/>
          <w:highlight w:val="none"/>
          <w:lang w:val="en-US" w:eastAsia="zh-CN" w:bidi="ar-SA"/>
        </w:rPr>
        <w:t>五、绩效评价工作情况</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rPr>
        <w:t>根据财政局要求，我局及时成立绩效评价工作领导小组，明确责任领导，指定专人负责开展绩效评价工作，采取查阅档案、座谈、听取汇报等方式，检查20</w:t>
      </w:r>
      <w:r>
        <w:rPr>
          <w:rFonts w:hint="eastAsia" w:ascii="仿宋_GB2312" w:hAnsi="黑体"/>
          <w:sz w:val="32"/>
          <w:szCs w:val="32"/>
          <w:lang w:val="en-US" w:eastAsia="zh-CN"/>
        </w:rPr>
        <w:t>20</w:t>
      </w:r>
      <w:r>
        <w:rPr>
          <w:rFonts w:hint="eastAsia" w:ascii="仿宋_GB2312" w:hAnsi="黑体" w:eastAsia="仿宋_GB2312"/>
          <w:sz w:val="32"/>
          <w:szCs w:val="32"/>
        </w:rPr>
        <w:t>年基本支出、项目支出有关账目，收集整理支出相关资料，并根据各业务科室报送的绩效自评材料进行分析，形成评价结论，我局部门整体支出绩效自评9</w:t>
      </w:r>
      <w:r>
        <w:rPr>
          <w:rFonts w:hint="eastAsia" w:ascii="仿宋_GB2312" w:hAnsi="黑体"/>
          <w:sz w:val="32"/>
          <w:szCs w:val="32"/>
          <w:lang w:val="en-US" w:eastAsia="zh-CN"/>
        </w:rPr>
        <w:t>3</w:t>
      </w:r>
      <w:r>
        <w:rPr>
          <w:rFonts w:hint="eastAsia" w:ascii="仿宋_GB2312" w:hAnsi="黑体" w:eastAsia="仿宋_GB2312"/>
          <w:sz w:val="32"/>
          <w:szCs w:val="32"/>
        </w:rPr>
        <w:t>分。</w:t>
      </w:r>
    </w:p>
    <w:p>
      <w:pPr>
        <w:pStyle w:val="4"/>
        <w:spacing w:before="0" w:beforeAutospacing="0" w:after="0" w:afterAutospacing="0" w:line="493" w:lineRule="atLeast"/>
        <w:ind w:firstLine="643" w:firstLineChars="200"/>
        <w:rPr>
          <w:rFonts w:hint="eastAsia" w:ascii="仿宋_GB2312" w:hAnsi="黑体" w:eastAsia="仿宋_GB2312" w:cs="Times New Roman"/>
          <w:kern w:val="2"/>
          <w:sz w:val="32"/>
          <w:szCs w:val="32"/>
          <w:lang w:val="en-US" w:eastAsia="zh-CN" w:bidi="ar-SA"/>
        </w:rPr>
      </w:pPr>
      <w:r>
        <w:rPr>
          <w:rFonts w:hint="eastAsia" w:ascii="仿宋" w:hAnsi="仿宋" w:eastAsia="仿宋" w:cstheme="minorBidi"/>
          <w:b/>
          <w:color w:val="000000"/>
          <w:sz w:val="32"/>
          <w:szCs w:val="32"/>
        </w:rPr>
        <w:t>六、存在的主要问题</w:t>
      </w:r>
    </w:p>
    <w:p>
      <w:pPr>
        <w:pStyle w:val="4"/>
        <w:spacing w:before="0" w:beforeAutospacing="0" w:after="0" w:afterAutospacing="0" w:line="493" w:lineRule="atLeast"/>
        <w:ind w:firstLine="480" w:firstLineChars="15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（1）对于绩效评价的认识不够深入，把预算绩效简单等同于工作目标、工作考核和业务管理。</w:t>
      </w:r>
    </w:p>
    <w:p>
      <w:pPr>
        <w:pStyle w:val="4"/>
        <w:spacing w:before="0" w:beforeAutospacing="0" w:after="0" w:afterAutospacing="0" w:line="493" w:lineRule="atLeast"/>
        <w:ind w:firstLine="480" w:firstLineChars="150"/>
        <w:rPr>
          <w:rFonts w:hint="eastAsia" w:ascii="仿宋_GB2312" w:hAnsi="黑体" w:eastAsia="仿宋_GB2312" w:cs="Times New Roman"/>
          <w:kern w:val="2"/>
          <w:sz w:val="32"/>
          <w:szCs w:val="32"/>
          <w:lang w:val="en-US" w:eastAsia="zh-CN" w:bidi="ar-SA"/>
        </w:rPr>
      </w:pPr>
      <w:r>
        <w:rPr>
          <w:rFonts w:hint="eastAsia" w:ascii="仿宋_GB2312" w:hAnsi="黑体" w:eastAsia="仿宋_GB2312" w:cs="Times New Roman"/>
          <w:kern w:val="2"/>
          <w:sz w:val="32"/>
          <w:szCs w:val="32"/>
          <w:lang w:val="en-US" w:eastAsia="zh-CN" w:bidi="ar-SA"/>
        </w:rPr>
        <w:t>（2）绩效目标和指标往往根据项目实际完成情况制定，对项目执行过程有效约束不够，存在一定的偏差。</w:t>
      </w:r>
    </w:p>
    <w:p>
      <w:pPr>
        <w:pStyle w:val="4"/>
        <w:spacing w:before="0" w:beforeAutospacing="0" w:after="0" w:afterAutospacing="0" w:line="493" w:lineRule="atLeast"/>
        <w:ind w:firstLine="643" w:firstLineChars="200"/>
        <w:rPr>
          <w:rFonts w:ascii="仿宋" w:hAnsi="仿宋" w:eastAsia="仿宋" w:cstheme="minorBidi"/>
          <w:b/>
          <w:color w:val="000000"/>
          <w:sz w:val="32"/>
          <w:szCs w:val="32"/>
        </w:rPr>
      </w:pPr>
      <w:r>
        <w:rPr>
          <w:rFonts w:hint="eastAsia" w:ascii="仿宋" w:hAnsi="仿宋" w:eastAsia="仿宋" w:cstheme="minorBidi"/>
          <w:b/>
          <w:color w:val="000000"/>
          <w:sz w:val="32"/>
          <w:szCs w:val="32"/>
        </w:rPr>
        <w:t>七、改进措施和有关建议</w:t>
      </w:r>
    </w:p>
    <w:p>
      <w:pPr>
        <w:adjustRightInd w:val="0"/>
        <w:spacing w:line="600" w:lineRule="exact"/>
        <w:ind w:firstLine="640"/>
        <w:rPr>
          <w:rFonts w:hint="eastAsia" w:ascii="仿宋_GB2312" w:hAnsi="黑体" w:eastAsia="仿宋_GB2312"/>
          <w:sz w:val="32"/>
          <w:szCs w:val="32"/>
        </w:rPr>
      </w:pPr>
      <w:r>
        <w:rPr>
          <w:rFonts w:hint="eastAsia" w:ascii="仿宋_GB2312" w:hAnsi="黑体" w:eastAsia="仿宋_GB2312"/>
          <w:sz w:val="32"/>
          <w:szCs w:val="32"/>
          <w:lang w:val="en-US" w:eastAsia="zh-CN"/>
        </w:rPr>
        <w:t>1.进一步健全和完善财务管理制度及内部控制制度，创新管理手段，用新思路、新方法，改进和完善财务管理办法，不断提高财务人员业务水平，进一步加强资金使用规范和效益。2.按照财政支出绩效管理的要求，建立科学的财政资金效益考评制度，不断提高财政资金使用管理水平和效率。</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4C01A5"/>
    <w:rsid w:val="0C033E4F"/>
    <w:rsid w:val="0C800671"/>
    <w:rsid w:val="229D3331"/>
    <w:rsid w:val="37F244CE"/>
    <w:rsid w:val="3DC42220"/>
    <w:rsid w:val="7E9118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0"/>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Normal (Web)"/>
    <w:basedOn w:val="1"/>
    <w:qFormat/>
    <w:uiPriority w:val="99"/>
    <w:pPr>
      <w:widowControl/>
      <w:jc w:val="left"/>
    </w:pPr>
    <w:rPr>
      <w:rFonts w:ascii="宋体" w:hAnsi="宋体" w:cs="宋体"/>
      <w:kern w:val="0"/>
      <w:sz w:val="24"/>
    </w:rPr>
  </w:style>
  <w:style w:type="paragraph" w:styleId="7">
    <w:name w:val="List Paragraph"/>
    <w:basedOn w:val="1"/>
    <w:qFormat/>
    <w:uiPriority w:val="34"/>
    <w:pPr>
      <w:ind w:firstLine="420" w:firstLineChars="200"/>
    </w:pPr>
  </w:style>
  <w:style w:type="paragraph" w:customStyle="1" w:styleId="8">
    <w:name w:val="p0"/>
    <w:basedOn w:val="1"/>
    <w:qFormat/>
    <w:uiPriority w:val="0"/>
    <w:pPr>
      <w:widowControl/>
    </w:pPr>
    <w:rPr>
      <w:rFonts w:ascii="Calibri" w:hAnsi="Calibri" w:eastAsia="宋体" w:cs="宋体"/>
      <w:kern w:val="0"/>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2021-03-10T08:56:00Z</dcterms:created>
  <dc:creator>Administrator</dc:creator>
  <cp:lastModifiedBy>大头和她的小伙伴儿们</cp:lastModifiedBy>
  <cp:lastPrinted>2021-03-16T02:18:52Z</cp:lastPrinted>
  <dcterms:modified xsi:type="dcterms:W3CDTF">2021-03-16T02:18:56Z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BAAAB655277445798D34FE87566A75CC</vt:lpwstr>
  </property>
</Properties>
</file>