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隆尧县自然资源和规划局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政府信息公开工作</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2020</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40" w:lineRule="exact"/>
        <w:ind w:right="0"/>
        <w:jc w:val="both"/>
        <w:textAlignment w:val="auto"/>
        <w:rPr>
          <w:rFonts w:hint="eastAsia" w:ascii="黑体" w:hAnsi="黑体" w:eastAsia="黑体" w:cs="黑体"/>
          <w:b w:val="0"/>
          <w:bCs/>
          <w:i w:val="0"/>
          <w:caps w:val="0"/>
          <w:color w:val="333333"/>
          <w:spacing w:val="0"/>
          <w:sz w:val="32"/>
          <w:szCs w:val="32"/>
          <w:shd w:val="clear" w:color="auto"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caps w:val="0"/>
          <w:color w:val="333333"/>
          <w:spacing w:val="0"/>
          <w:sz w:val="32"/>
          <w:szCs w:val="32"/>
        </w:rPr>
      </w:pPr>
      <w:r>
        <w:rPr>
          <w:rFonts w:hint="eastAsia" w:ascii="黑体" w:hAnsi="黑体" w:eastAsia="黑体" w:cs="黑体"/>
          <w:b w:val="0"/>
          <w:bCs/>
          <w:i w:val="0"/>
          <w:caps w:val="0"/>
          <w:color w:val="333333"/>
          <w:spacing w:val="0"/>
          <w:sz w:val="32"/>
          <w:szCs w:val="32"/>
          <w:shd w:val="clear" w:color="auto" w:fill="FFFFFF"/>
        </w:rPr>
        <w:t>一、总体情况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600" w:lineRule="exact"/>
        <w:ind w:left="0" w:right="0" w:firstLine="420"/>
        <w:jc w:val="both"/>
        <w:textAlignment w:val="auto"/>
        <w:rPr>
          <w:rFonts w:hint="default" w:ascii="仿宋_GB2312" w:hAnsi="新宋体" w:eastAsia="仿宋_GB2312"/>
          <w:sz w:val="32"/>
          <w:szCs w:val="32"/>
          <w:lang w:val="en-US" w:eastAsia="zh-CN"/>
        </w:rPr>
      </w:pPr>
      <w:r>
        <w:rPr>
          <w:rFonts w:hint="eastAsia" w:ascii="仿宋_GB2312" w:hAnsi="新宋体" w:eastAsia="仿宋_GB2312"/>
          <w:sz w:val="32"/>
          <w:szCs w:val="32"/>
          <w:lang w:eastAsia="zh-CN"/>
        </w:rPr>
        <w:t>　</w:t>
      </w:r>
      <w:r>
        <w:rPr>
          <w:rFonts w:hint="eastAsia" w:ascii="仿宋_GB2312" w:hAnsi="新宋体" w:eastAsia="仿宋_GB2312"/>
          <w:sz w:val="32"/>
          <w:szCs w:val="32"/>
          <w:lang w:val="en-US" w:eastAsia="zh-CN"/>
        </w:rPr>
        <w:t>2020年</w:t>
      </w:r>
      <w:bookmarkStart w:id="0" w:name="_GoBack"/>
      <w:bookmarkEnd w:id="0"/>
      <w:r>
        <w:rPr>
          <w:rFonts w:hint="eastAsia" w:ascii="仿宋_GB2312" w:hAnsi="新宋体" w:eastAsia="仿宋_GB2312"/>
          <w:sz w:val="32"/>
          <w:szCs w:val="32"/>
          <w:lang w:val="en-US" w:eastAsia="zh-CN"/>
        </w:rPr>
        <w:t>全局在职在岗工作人员全力做好前线后勤的疫情防控工作，并较好的完成县委县政府安排部署的各项工作任务。在政务信息公开方面，</w:t>
      </w:r>
      <w:r>
        <w:rPr>
          <w:rFonts w:hint="eastAsia" w:ascii="仿宋_GB2312" w:hAnsi="新宋体" w:eastAsia="仿宋_GB2312"/>
          <w:sz w:val="32"/>
          <w:szCs w:val="32"/>
        </w:rPr>
        <w:t>我单位严格</w:t>
      </w:r>
      <w:r>
        <w:rPr>
          <w:rFonts w:hint="eastAsia" w:ascii="仿宋_GB2312" w:hAnsi="新宋体" w:eastAsia="仿宋_GB2312"/>
          <w:sz w:val="32"/>
          <w:szCs w:val="32"/>
          <w:lang w:eastAsia="zh-CN"/>
        </w:rPr>
        <w:t>按照法律法规条例</w:t>
      </w:r>
      <w:r>
        <w:rPr>
          <w:rFonts w:hint="eastAsia" w:ascii="仿宋_GB2312" w:hAnsi="新宋体" w:eastAsia="仿宋_GB2312"/>
          <w:sz w:val="32"/>
          <w:szCs w:val="32"/>
        </w:rPr>
        <w:t>的</w:t>
      </w:r>
      <w:r>
        <w:rPr>
          <w:rFonts w:hint="eastAsia" w:ascii="仿宋_GB2312" w:hAnsi="新宋体" w:eastAsia="仿宋_GB2312"/>
          <w:sz w:val="32"/>
          <w:szCs w:val="32"/>
          <w:lang w:eastAsia="zh-CN"/>
        </w:rPr>
        <w:t>规定</w:t>
      </w:r>
      <w:r>
        <w:rPr>
          <w:rFonts w:hint="eastAsia" w:ascii="仿宋_GB2312" w:hAnsi="新宋体" w:eastAsia="仿宋_GB2312"/>
          <w:sz w:val="32"/>
          <w:szCs w:val="32"/>
        </w:rPr>
        <w:t>，</w:t>
      </w:r>
      <w:r>
        <w:rPr>
          <w:rFonts w:hint="eastAsia" w:ascii="仿宋_GB2312" w:hAnsi="新宋体" w:eastAsia="仿宋_GB2312"/>
          <w:sz w:val="32"/>
          <w:szCs w:val="32"/>
          <w:lang w:eastAsia="zh-CN"/>
        </w:rPr>
        <w:t>执行公开透明的政务工作，</w:t>
      </w:r>
      <w:r>
        <w:rPr>
          <w:rFonts w:hint="eastAsia" w:ascii="仿宋_GB2312" w:hAnsi="新宋体" w:eastAsia="仿宋_GB2312"/>
          <w:sz w:val="32"/>
          <w:szCs w:val="32"/>
        </w:rPr>
        <w:t>严把审核关，逐级审查发布。政务公开</w:t>
      </w:r>
      <w:r>
        <w:rPr>
          <w:rFonts w:hint="eastAsia" w:ascii="仿宋_GB2312" w:hAnsi="新宋体" w:eastAsia="仿宋_GB2312"/>
          <w:sz w:val="32"/>
          <w:szCs w:val="32"/>
          <w:lang w:eastAsia="zh-CN"/>
        </w:rPr>
        <w:t>信息</w:t>
      </w:r>
      <w:r>
        <w:rPr>
          <w:rFonts w:hint="eastAsia" w:ascii="仿宋_GB2312" w:hAnsi="新宋体" w:eastAsia="仿宋_GB2312"/>
          <w:sz w:val="32"/>
          <w:szCs w:val="32"/>
        </w:rPr>
        <w:t>平台，地区行业一栏详细介绍了隆尧县自然资源和规划局机构设置和职能以及领导分工；政策法规一栏是与本单位工作有关的法制规章制度信息；本单位的工作动态、领导活动、会议讲话、收费项目、收费标准、不动产业务办理时限、自由裁量权、行政执法公示制度、工作部署等都进行了公开；招拍挂、征收出让、安置补偿批前公示等都上网进行了公告公</w:t>
      </w:r>
      <w:r>
        <w:rPr>
          <w:rFonts w:hint="eastAsia" w:ascii="仿宋_GB2312" w:hAnsi="新宋体" w:eastAsia="仿宋_GB2312"/>
          <w:sz w:val="32"/>
          <w:szCs w:val="32"/>
          <w:lang w:eastAsia="zh-CN"/>
        </w:rPr>
        <w:t>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color="auto" w:fill="FFFFFF"/>
        </w:rPr>
        <w:t>二、主动公开政府信息情况</w:t>
      </w:r>
    </w:p>
    <w:tbl>
      <w:tblPr>
        <w:tblStyle w:val="6"/>
        <w:tblW w:w="8140" w:type="dxa"/>
        <w:jc w:val="center"/>
        <w:tblInd w:w="0" w:type="dxa"/>
        <w:tblLayout w:type="fixed"/>
        <w:tblCellMar>
          <w:top w:w="0" w:type="dxa"/>
          <w:left w:w="0" w:type="dxa"/>
          <w:bottom w:w="0" w:type="dxa"/>
          <w:right w:w="0" w:type="dxa"/>
        </w:tblCellMar>
      </w:tblPr>
      <w:tblGrid>
        <w:gridCol w:w="3113"/>
        <w:gridCol w:w="1875"/>
        <w:gridCol w:w="6"/>
        <w:gridCol w:w="1265"/>
        <w:gridCol w:w="1881"/>
      </w:tblGrid>
      <w:tr>
        <w:tblPrEx>
          <w:tblLayout w:type="fixed"/>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Layout w:type="fixed"/>
          <w:tblCellMar>
            <w:top w:w="0" w:type="dxa"/>
            <w:left w:w="0" w:type="dxa"/>
            <w:bottom w:w="0" w:type="dxa"/>
            <w:right w:w="0" w:type="dxa"/>
          </w:tblCellMar>
        </w:tblPrEx>
        <w:trPr>
          <w:trHeight w:val="116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宋体" w:hAnsi="宋体" w:eastAsia="宋体" w:cs="宋体"/>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宋体" w:hAnsi="宋体" w:eastAsia="宋体" w:cs="宋体"/>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对外公开总数量</w:t>
            </w:r>
          </w:p>
        </w:tc>
      </w:tr>
      <w:tr>
        <w:tblPrEx>
          <w:tblLayout w:type="fixed"/>
          <w:tblCellMar>
            <w:top w:w="0" w:type="dxa"/>
            <w:left w:w="0" w:type="dxa"/>
            <w:bottom w:w="0" w:type="dxa"/>
            <w:right w:w="0" w:type="dxa"/>
          </w:tblCellMar>
        </w:tblPrEx>
        <w:trPr>
          <w:trHeight w:val="56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cs="宋体"/>
                <w:color w:val="000000"/>
                <w:kern w:val="0"/>
                <w:sz w:val="20"/>
                <w:szCs w:val="20"/>
                <w:lang w:val="en-US" w:eastAsia="zh-CN" w:bidi="ar"/>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56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　　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　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　　　28</w:t>
            </w:r>
          </w:p>
        </w:tc>
      </w:tr>
      <w:tr>
        <w:tblPrEx>
          <w:tblLayout w:type="fixed"/>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Layout w:type="fixed"/>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3</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3</w:t>
            </w:r>
          </w:p>
        </w:tc>
      </w:tr>
      <w:tr>
        <w:tblPrEx>
          <w:tblLayout w:type="fixed"/>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Layout w:type="fixed"/>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6</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cs="宋体"/>
                <w:color w:val="000000"/>
                <w:kern w:val="0"/>
                <w:sz w:val="20"/>
                <w:szCs w:val="20"/>
                <w:lang w:val="en-US" w:eastAsia="zh-CN" w:bidi="ar"/>
              </w:rPr>
              <w:t>　6</w:t>
            </w:r>
          </w:p>
        </w:tc>
      </w:tr>
      <w:tr>
        <w:tblPrEx>
          <w:tblLayout w:type="fixed"/>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Layout w:type="fixed"/>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r>
      <w:tr>
        <w:tblPrEx>
          <w:tblLayout w:type="fixed"/>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第二十条第（九）项</w:t>
            </w:r>
          </w:p>
        </w:tc>
      </w:tr>
      <w:tr>
        <w:tblPrEx>
          <w:tblLayout w:type="fixed"/>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采购总金额</w:t>
            </w:r>
          </w:p>
        </w:tc>
      </w:tr>
      <w:tr>
        <w:tblPrEx>
          <w:tblLayout w:type="fixed"/>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left="0" w:right="0" w:firstLine="420"/>
        <w:jc w:val="both"/>
        <w:textAlignment w:val="auto"/>
        <w:rPr>
          <w:rFonts w:hint="eastAsia" w:ascii="宋体" w:hAnsi="宋体" w:eastAsia="宋体" w:cs="宋体"/>
          <w:b/>
          <w:i w:val="0"/>
          <w:caps w:val="0"/>
          <w:color w:val="333333"/>
          <w:spacing w:val="0"/>
          <w:sz w:val="24"/>
          <w:szCs w:val="24"/>
          <w:shd w:val="clear" w:color="auto" w:fill="FFFFFF"/>
        </w:rPr>
      </w:pPr>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收到和处理政府信息公开申请情况</w:t>
      </w:r>
    </w:p>
    <w:tbl>
      <w:tblPr>
        <w:tblStyle w:val="6"/>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854"/>
        <w:gridCol w:w="2086"/>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13"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13"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eastAsia="宋体"/>
                <w:lang w:val="en-US" w:eastAsia="zh-CN"/>
              </w:rPr>
            </w:pPr>
            <w:r>
              <w:rPr>
                <w:rFonts w:hint="eastAsia"/>
                <w:lang w:val="en-US" w:eastAsia="zh-CN"/>
              </w:rPr>
              <w:t>216</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216</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三、本年度办理结果</w:t>
            </w: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（一）予以公开</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216</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216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（二）部分公开（区分处理的，只计这一情形，不计其他情形）</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（三）不予公开</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1.属于国家秘密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2.其他法律行政法规禁止公开</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3.危及“三安全一稳定”</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4.保护第三方合法权益</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5.属于三类内部事务信息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6.属于四类过程性信息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7.属于行政执法案卷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8.属于行政查询事项</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（四）无法提供</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1.本机关不掌握相关政府信息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2.没有现成信息需要另行制作</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69"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3.补正后申请内容仍不明确</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eastAsia" w:ascii="楷体" w:hAnsi="楷体" w:eastAsia="楷体" w:cs="楷体"/>
                <w:kern w:val="0"/>
                <w:sz w:val="20"/>
                <w:szCs w:val="20"/>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（五）不予处理</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1.信访举报投诉类申请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2.重复申请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3.要求提供公开出版物</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楷体" w:hAnsi="楷体" w:eastAsia="楷体" w:cs="楷体"/>
                <w:kern w:val="0"/>
                <w:sz w:val="20"/>
                <w:szCs w:val="20"/>
                <w:lang w:val="en-US" w:eastAsia="zh-CN" w:bidi="ar"/>
              </w:rPr>
              <w:t>4.无正当理由大量反复申请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5.要求行政机关确认或重新出具已获取信息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（六）其他处理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（七）总计</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216</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216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四、政府信息公开行政复议、行政诉讼情况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p>
    <w:tbl>
      <w:tblPr>
        <w:tblStyle w:val="6"/>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lang w:val="en-US" w:eastAsia="zh-CN"/>
        </w:rPr>
        <w:t>五、</w:t>
      </w:r>
      <w:r>
        <w:rPr>
          <w:rFonts w:hint="eastAsia" w:ascii="黑体" w:hAnsi="黑体" w:eastAsia="黑体" w:cs="黑体"/>
          <w:b w:val="0"/>
          <w:bCs/>
          <w:i w:val="0"/>
          <w:caps w:val="0"/>
          <w:color w:val="333333"/>
          <w:spacing w:val="0"/>
          <w:sz w:val="32"/>
          <w:szCs w:val="32"/>
          <w:shd w:val="clear" w:color="auto" w:fill="FFFFFF"/>
        </w:rPr>
        <w:t>存在的主要问题及改进情况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420" w:leftChars="0" w:right="0" w:rightChars="0" w:firstLine="641"/>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本单位</w:t>
      </w:r>
      <w:r>
        <w:rPr>
          <w:rFonts w:hint="eastAsia" w:ascii="仿宋_GB2312" w:eastAsia="仿宋_GB2312"/>
          <w:sz w:val="32"/>
          <w:szCs w:val="32"/>
        </w:rPr>
        <w:t>虽然取得了好的成效，</w:t>
      </w:r>
      <w:r>
        <w:rPr>
          <w:rFonts w:hint="eastAsia" w:ascii="仿宋_GB2312" w:eastAsia="仿宋_GB2312"/>
          <w:sz w:val="32"/>
          <w:szCs w:val="32"/>
          <w:lang w:eastAsia="zh-CN"/>
        </w:rPr>
        <w:t>让民众知情，透明化，</w:t>
      </w:r>
      <w:r>
        <w:rPr>
          <w:rFonts w:hint="eastAsia" w:ascii="仿宋_GB2312" w:eastAsia="仿宋_GB2312"/>
          <w:sz w:val="32"/>
          <w:szCs w:val="32"/>
        </w:rPr>
        <w:t>但也存在一些不足之处</w:t>
      </w:r>
      <w:r>
        <w:rPr>
          <w:rFonts w:hint="eastAsia" w:ascii="仿宋_GB2312" w:eastAsia="仿宋_GB2312"/>
          <w:sz w:val="32"/>
          <w:szCs w:val="32"/>
          <w:lang w:eastAsia="zh-CN"/>
        </w:rPr>
        <w:t>：</w:t>
      </w:r>
      <w:r>
        <w:rPr>
          <w:rFonts w:hint="eastAsia" w:ascii="仿宋_GB2312" w:eastAsia="仿宋_GB2312"/>
          <w:sz w:val="32"/>
          <w:szCs w:val="32"/>
        </w:rPr>
        <w:t>一是政府信息公开的内容不尽全面，时效性有待提高；二是政务公开监督机制还不健全；三是网站政务公开部分栏目还需要充实内容。因此，依照国家</w:t>
      </w:r>
      <w:r>
        <w:rPr>
          <w:rFonts w:hint="eastAsia" w:ascii="仿宋_GB2312" w:eastAsia="仿宋_GB2312"/>
          <w:sz w:val="32"/>
          <w:szCs w:val="32"/>
          <w:lang w:eastAsia="zh-CN"/>
        </w:rPr>
        <w:t>法律、</w:t>
      </w:r>
      <w:r>
        <w:rPr>
          <w:rFonts w:hint="eastAsia" w:ascii="仿宋_GB2312" w:eastAsia="仿宋_GB2312"/>
          <w:sz w:val="32"/>
          <w:szCs w:val="32"/>
        </w:rPr>
        <w:t>法规，建立科学合理、行之有效、具体明确、易于运行操作的运行体系</w:t>
      </w:r>
      <w:r>
        <w:rPr>
          <w:rFonts w:hint="eastAsia" w:ascii="仿宋_GB2312" w:eastAsia="仿宋_GB2312"/>
          <w:sz w:val="32"/>
          <w:szCs w:val="32"/>
          <w:lang w:eastAsia="zh-CN"/>
        </w:rPr>
        <w:t>制度</w:t>
      </w:r>
      <w:r>
        <w:rPr>
          <w:rFonts w:hint="eastAsia" w:ascii="仿宋_GB2312" w:eastAsia="仿宋_GB2312"/>
          <w:sz w:val="32"/>
          <w:szCs w:val="32"/>
        </w:rPr>
        <w:t>，</w:t>
      </w:r>
      <w:r>
        <w:rPr>
          <w:rFonts w:hint="eastAsia" w:ascii="仿宋_GB2312" w:eastAsia="仿宋_GB2312"/>
          <w:sz w:val="32"/>
          <w:szCs w:val="32"/>
          <w:lang w:eastAsia="zh-CN"/>
        </w:rPr>
        <w:t>实行“谁提供谁负责”、“谁签字谁负责”、“谁上网谁负责”的“三负责”制度，使本单位的</w:t>
      </w:r>
      <w:r>
        <w:rPr>
          <w:rFonts w:hint="eastAsia" w:ascii="仿宋_GB2312" w:eastAsia="仿宋_GB2312"/>
          <w:sz w:val="32"/>
          <w:szCs w:val="32"/>
        </w:rPr>
        <w:t>政务公开工作</w:t>
      </w:r>
      <w:r>
        <w:rPr>
          <w:rFonts w:hint="eastAsia" w:ascii="仿宋_GB2312" w:eastAsia="仿宋_GB2312"/>
          <w:sz w:val="32"/>
          <w:szCs w:val="32"/>
          <w:lang w:eastAsia="zh-CN"/>
        </w:rPr>
        <w:t>更规范</w:t>
      </w:r>
      <w:r>
        <w:rPr>
          <w:rFonts w:hint="eastAsia" w:ascii="仿宋_GB2312" w:eastAsia="仿宋_GB2312"/>
          <w:sz w:val="32"/>
          <w:szCs w:val="32"/>
        </w:rPr>
        <w:t>，深入实际，让</w:t>
      </w:r>
      <w:r>
        <w:rPr>
          <w:rFonts w:hint="eastAsia" w:ascii="仿宋_GB2312" w:eastAsia="仿宋_GB2312"/>
          <w:sz w:val="32"/>
          <w:szCs w:val="32"/>
          <w:lang w:eastAsia="zh-CN"/>
        </w:rPr>
        <w:t>政府信息工作</w:t>
      </w:r>
      <w:r>
        <w:rPr>
          <w:rFonts w:hint="eastAsia" w:ascii="仿宋_GB2312" w:eastAsia="仿宋_GB2312"/>
          <w:sz w:val="32"/>
          <w:szCs w:val="32"/>
        </w:rPr>
        <w:t>在“阳光”下运行，进一步加强信息公开工作，力争在规范化、制度化、程序化等方面取得新进展，迈上新</w:t>
      </w:r>
      <w:r>
        <w:rPr>
          <w:rFonts w:hint="eastAsia" w:ascii="仿宋_GB2312" w:eastAsia="仿宋_GB2312"/>
          <w:sz w:val="32"/>
          <w:szCs w:val="32"/>
          <w:lang w:eastAsia="zh-CN"/>
        </w:rPr>
        <w:t>台阶。</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420" w:leftChars="0" w:right="0" w:rightChars="0" w:firstLine="641"/>
        <w:jc w:val="both"/>
        <w:textAlignment w:val="auto"/>
        <w:rPr>
          <w:rFonts w:hint="eastAsia" w:ascii="仿宋_GB2312" w:eastAsia="仿宋_GB2312"/>
          <w:sz w:val="32"/>
          <w:szCs w:val="32"/>
          <w:lang w:eastAsia="zh-CN"/>
        </w:rPr>
      </w:pP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420" w:leftChars="0" w:right="0" w:rightChars="0" w:firstLine="641"/>
        <w:jc w:val="both"/>
        <w:textAlignment w:val="auto"/>
        <w:rPr>
          <w:rFonts w:hint="eastAsia" w:ascii="仿宋_GB2312" w:eastAsia="仿宋_GB2312"/>
          <w:sz w:val="32"/>
          <w:szCs w:val="32"/>
          <w:lang w:eastAsia="zh-CN"/>
        </w:rPr>
      </w:pP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eastAsia" w:ascii="仿宋_GB2312" w:eastAsia="仿宋_GB2312"/>
          <w:sz w:val="32"/>
          <w:szCs w:val="32"/>
          <w:lang w:val="en-US" w:eastAsia="zh-CN"/>
        </w:rPr>
      </w:pP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right="0" w:rightChars="0" w:firstLine="4800" w:firstLineChars="15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2021年1月27日</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420" w:leftChars="0" w:right="0" w:rightChars="0"/>
        <w:jc w:val="both"/>
        <w:textAlignment w:val="auto"/>
        <w:rPr>
          <w:rFonts w:hint="eastAsia" w:ascii="宋体" w:hAnsi="宋体" w:eastAsia="宋体" w:cs="宋体"/>
          <w:b/>
          <w:i w:val="0"/>
          <w:caps w:val="0"/>
          <w:color w:val="333333"/>
          <w:spacing w:val="0"/>
          <w:sz w:val="32"/>
          <w:szCs w:val="32"/>
          <w:shd w:val="clear" w:color="auto" w:fill="FFFFFF"/>
          <w:lang w:eastAsia="zh-CN"/>
        </w:rPr>
      </w:pPr>
      <w:r>
        <w:rPr>
          <w:rFonts w:hint="eastAsia" w:ascii="宋体" w:hAnsi="宋体" w:cs="宋体"/>
          <w:b/>
          <w:i w:val="0"/>
          <w:caps w:val="0"/>
          <w:color w:val="333333"/>
          <w:spacing w:val="0"/>
          <w:sz w:val="32"/>
          <w:szCs w:val="32"/>
          <w:shd w:val="clear" w:color="auto" w:fill="FFFFFF"/>
          <w:lang w:eastAsia="zh-CN"/>
        </w:rPr>
        <w:t>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宋体" w:hAnsi="宋体" w:eastAsia="宋体" w:cs="宋体"/>
          <w:i w:val="0"/>
          <w:caps w:val="0"/>
          <w:color w:val="333333"/>
          <w:spacing w:val="0"/>
          <w:sz w:val="24"/>
          <w:szCs w:val="24"/>
          <w:lang w:val="en-US" w:eastAsia="zh-CN"/>
        </w:rPr>
      </w:pPr>
    </w:p>
    <w:p>
      <w:pPr>
        <w:keepNext w:val="0"/>
        <w:keepLines w:val="0"/>
        <w:pageBreakBefore w:val="0"/>
        <w:kinsoku/>
        <w:wordWrap/>
        <w:overflowPunct/>
        <w:topLinePunct w:val="0"/>
        <w:autoSpaceDE/>
        <w:autoSpaceDN/>
        <w:bidi w:val="0"/>
        <w:adjustRightInd/>
        <w:snapToGrid/>
        <w:spacing w:line="600" w:lineRule="exact"/>
        <w:textAlignment w:val="auto"/>
      </w:pPr>
    </w:p>
    <w:sectPr>
      <w:footerReference r:id="rId3" w:type="default"/>
      <w:pgSz w:w="11906" w:h="16838"/>
      <w:pgMar w:top="1837" w:right="1576" w:bottom="1497" w:left="15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仿宋_GB2312"/>
    <w:panose1 w:val="03000509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7603E7"/>
    <w:multiLevelType w:val="singleLevel"/>
    <w:tmpl w:val="117603E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C578C3"/>
    <w:rsid w:val="103C53A4"/>
    <w:rsid w:val="15C578C3"/>
    <w:rsid w:val="3060620C"/>
    <w:rsid w:val="36E74856"/>
    <w:rsid w:val="3A6B7DDD"/>
    <w:rsid w:val="4214015D"/>
    <w:rsid w:val="459E1C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unhideWhenUsed/>
    <w:qFormat/>
    <w:uiPriority w:val="99"/>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188</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2021-01-08T11:25:00Z</dcterms:created>
  <dc:creator>Administrator</dc:creator>
  <cp:lastModifiedBy>Administrator</cp:lastModifiedBy>
  <cp:lastPrinted>2021-01-28T05:10:58Z</cp:lastPrinted>
  <dcterms:modified xsi:type="dcterms:W3CDTF">2021-01-28T05:11:46Z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