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中小企业创新奖励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金</w:t>
      </w:r>
    </w:p>
    <w:p>
      <w:p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绩效自评报告</w:t>
      </w:r>
    </w:p>
    <w:p>
      <w:p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为确实做好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年度专项资金绩效自评工作，提高财政资金使用效益，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隆尧县部门预算绩效管理办法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财〔2019〕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号)、《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隆尧县全面实施预算绩效管理推进工作方案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》(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财预〔2019〕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号)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、《隆尧县县级部门绩效自评办法》（隆财〔2020〕28号）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相关要求，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结合实际，我单位组织成立了绩效评价工作小组，评价小组采取座谈等方式听取情况，检查专项资金有关账目，收集整理专项资金支出相关资料，并根据各部门（股室）报送的绩效自评材料进行分析、总结，现将我单位专项资 金绩效自评结果报告如下： 一、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中小企业发展专项资金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概况 </w:t>
      </w:r>
    </w:p>
    <w:p>
      <w:pPr>
        <w:ind w:firstLine="640"/>
        <w:rPr>
          <w:rFonts w:hint="default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年我单位狠抓重点工作，较好地完成了各项目标任务，取得了较好的社会效益。根据我单位的工作职能和职责、按照项目资金的使 用内容和用途，本单位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中小企创新奖励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金支出主要有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12家企业，总金额202万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，其中，河北龙大制品有限公司、河北百龙汽车配件制造有限公司、隆尧诚信阀门有限公司、河北创谱金属材料检测技术有限公司、河北德尚瓷业有限公司、河北泽阳园农业科技开发股份有限公司等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6家企业被认定为高新技术企业，每家企业奖励20万；邢台三厦铸铁有限公司、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河北创谱金属材料检测技术有限公司等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2家公司分别获得一项发明专利，分别奖励5万；河北宝信物流有限公司被省制定为“省级科技企业孵化器”获得创新型企业，奖励50万。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河北泽阳园农业科技开发股份有限公司获得“星创天地”，并获得创新型企业，奖励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10万；邢台三厦铸铁有限公司、河北百龙汽车配件股份有限公司、华丽纸制品股份有限公司、河北顶创金属制品有限公司、河北天丰金属制品有限公司、河北隆昌汽车零部件有限公司等6家企业获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相关认证，获得“创新型企业”，奖励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2万；河北百龙汽车配件股份有限公司上市，获得创新型企业，奖励30万。</w:t>
      </w:r>
    </w:p>
    <w:p>
      <w:p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numPr>
          <w:ilvl w:val="0"/>
          <w:numId w:val="1"/>
        </w:numPr>
        <w:ind w:firstLine="64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专项资金使用及管理情况 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该专项资金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所有开支均按照国有建设单位制度执行，资金的使用全部实 行专账管理，专款专用，严格把关，整个项目的运行完全按照我单位 内部管理制度、县委、县政府及财政的有关规定执行。单位内部不定 期进行抽查，严格人员作风，不存在违规违法的问题。各个项目资金 使用与具体项目实施内容相符，绩效总目标和阶段性目标都已按照计 划完成，未逾期。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组织实施情况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我单位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中小企业创新奖励金项目由李云凌局长为组长，郝勇利副局长、董俊兴副局长组成自评小组，对项目进行绩效自评。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均已完成当年计划，完成了年度绩效目标。 所有项目的日常管理工作均按照我单位相关管理制度执行，建立了工 作有计划、实施有方案、日常有监督的管理机制，工作取得了较好的 成效，效能得到了提高、获得了社会公众的好评 100%。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绩情况分析 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我单位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中小企业创新奖励金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设置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管理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产出、效果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业务管理到财 务管理、项目产出、项目效益得分都很高，总分达到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分。 1、项目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设置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分）：项目的申请、设立过程符合相关要求，设 定的绩效目标合理，绩效指标细化、明确、清晰、可衡量。 2、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项目管理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分）：资金落实到位情况良好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管理制度健全、制度执行有效、项目质量可控。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项目产出（2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分）：项目完成率 100%、完成及时率 100%、质 量达标率 100%、成本节约率 100%。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项目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效果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分）：项目实施对经济效益、社会效益好，是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中小企业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需要，为区域内经济创造了条件，生态效益都较好，可持续影响对当地经济发挥更好效益、社会公众的满意度非常高。 </w:t>
      </w:r>
    </w:p>
    <w:p>
      <w:pPr>
        <w:numPr>
          <w:ilvl w:val="0"/>
          <w:numId w:val="1"/>
        </w:numPr>
        <w:ind w:left="0" w:leftChars="0" w:firstLine="640" w:firstLineChars="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意见及建议 </w:t>
      </w:r>
    </w:p>
    <w:p>
      <w:pPr>
        <w:numPr>
          <w:ilvl w:val="0"/>
          <w:numId w:val="0"/>
        </w:numPr>
        <w:ind w:firstLine="320" w:firstLineChars="100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进一步健全和完善财务管理制度及内部控制制度，创新管理手段，用新思路、新方法，改进完善财务管理方法。 </w:t>
      </w:r>
    </w:p>
    <w:p>
      <w:pPr>
        <w:numPr>
          <w:ilvl w:val="0"/>
          <w:numId w:val="0"/>
        </w:numPr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2、按照财政支出绩效管理的要求，建立科学的财政资金效益考评制度体系，不断提高财政资金使用管理的水平和效率。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3B69248"/>
    <w:multiLevelType w:val="singleLevel"/>
    <w:tmpl w:val="F3B6924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6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CA5118"/>
    <w:rsid w:val="01481AF9"/>
    <w:rsid w:val="01CA5118"/>
    <w:rsid w:val="43205E90"/>
    <w:rsid w:val="482E2F73"/>
    <w:rsid w:val="485D0780"/>
    <w:rsid w:val="65A51D56"/>
    <w:rsid w:val="6A6E2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2020-07-10T04:02:00Z</dcterms:created>
  <dc:creator>Administrator</dc:creator>
  <cp:lastModifiedBy>张晓芳</cp:lastModifiedBy>
  <cp:lastPrinted>2020-07-10T09:06:00Z</cp:lastPrinted>
  <dcterms:modified xsi:type="dcterms:W3CDTF">2020-11-09T03:20:29Z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