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snapToGrid/>
        <w:spacing w:beforeLines="100" w:afterLines="50"/>
        <w:jc w:val="center"/>
        <w:rPr>
          <w:rFonts w:ascii="宋体" w:hAnsi="宋体" w:eastAsia="宋体" w:cs="宋体"/>
          <w:b/>
          <w:bCs/>
          <w:sz w:val="36"/>
          <w:szCs w:val="36"/>
        </w:rPr>
      </w:pPr>
      <w:r>
        <w:rPr>
          <w:rFonts w:hint="eastAsia" w:ascii="宋体" w:hAnsi="宋体" w:eastAsia="宋体" w:cs="宋体"/>
          <w:b/>
          <w:bCs/>
          <w:sz w:val="36"/>
          <w:szCs w:val="36"/>
          <w:lang w:eastAsia="zh-CN"/>
        </w:rPr>
        <w:t>科工局部门</w:t>
      </w:r>
      <w:r>
        <w:rPr>
          <w:rFonts w:hint="eastAsia" w:ascii="宋体" w:hAnsi="宋体" w:eastAsia="宋体" w:cs="宋体"/>
          <w:b/>
          <w:bCs/>
          <w:sz w:val="36"/>
          <w:szCs w:val="36"/>
        </w:rPr>
        <w:t>经费绩效评价自评报告</w:t>
      </w:r>
    </w:p>
    <w:p>
      <w:pPr>
        <w:pStyle w:val="9"/>
        <w:numPr>
          <w:ilvl w:val="0"/>
          <w:numId w:val="1"/>
        </w:numPr>
        <w:adjustRightInd/>
        <w:snapToGrid/>
        <w:spacing w:beforeLines="100" w:afterLines="50"/>
        <w:ind w:firstLineChars="0"/>
        <w:rPr>
          <w:rFonts w:ascii="宋体" w:hAnsi="宋体" w:eastAsia="宋体" w:cs="宋体"/>
          <w:b/>
          <w:bCs/>
          <w:sz w:val="36"/>
          <w:szCs w:val="36"/>
        </w:rPr>
      </w:pPr>
      <w:r>
        <w:rPr>
          <w:rFonts w:hint="eastAsia" w:ascii="宋体" w:hAnsi="宋体" w:eastAsia="宋体" w:cs="宋体"/>
          <w:b/>
          <w:bCs/>
          <w:sz w:val="36"/>
          <w:szCs w:val="36"/>
        </w:rPr>
        <w:t>项目概括</w:t>
      </w:r>
    </w:p>
    <w:p>
      <w:pPr>
        <w:spacing w:line="640" w:lineRule="exact"/>
        <w:ind w:firstLine="560" w:firstLineChars="200"/>
        <w:rPr>
          <w:rFonts w:ascii="华文仿宋" w:hAnsi="华文仿宋" w:eastAsia="华文仿宋" w:cs="华文仿宋"/>
          <w:sz w:val="32"/>
          <w:szCs w:val="32"/>
        </w:rPr>
      </w:pPr>
      <w:r>
        <w:rPr>
          <w:rFonts w:hint="eastAsia" w:ascii="仿宋" w:hAnsi="仿宋" w:eastAsia="仿宋" w:cs="仿宋"/>
          <w:b w:val="0"/>
          <w:bCs w:val="0"/>
          <w:color w:val="auto"/>
          <w:sz w:val="28"/>
        </w:rPr>
        <w:t>2019年</w:t>
      </w:r>
      <w:r>
        <w:rPr>
          <w:rFonts w:ascii="方正仿宋_GBK" w:eastAsia="方正仿宋_GBK"/>
          <w:b w:val="0"/>
          <w:bCs w:val="0"/>
          <w:color w:val="auto"/>
          <w:sz w:val="28"/>
        </w:rPr>
        <w:t>，</w:t>
      </w:r>
      <w:r>
        <w:rPr>
          <w:rFonts w:hint="eastAsia" w:ascii="华文仿宋" w:hAnsi="华文仿宋" w:eastAsia="华文仿宋" w:cs="华文仿宋"/>
          <w:sz w:val="32"/>
          <w:szCs w:val="32"/>
        </w:rPr>
        <w:t>在县委县政府的正确领导下，在上级科技和工信及有关部门的指导帮助下，今年以来，我们全面贯彻落实国家和省、市、县有关政策和工作部署，努力促进全县科技进步和企业发展，较好地完成了全年工作目标任务。</w:t>
      </w:r>
    </w:p>
    <w:p>
      <w:pPr>
        <w:spacing w:line="500" w:lineRule="exact"/>
        <w:ind w:firstLine="560"/>
        <w:rPr>
          <w:rFonts w:ascii="方正仿宋_GBK" w:eastAsia="方正仿宋_GBK"/>
          <w:sz w:val="28"/>
        </w:rPr>
      </w:pPr>
      <w:bookmarkStart w:id="0" w:name="_GoBack"/>
      <w:bookmarkEnd w:id="0"/>
    </w:p>
    <w:p>
      <w:pPr>
        <w:pStyle w:val="9"/>
        <w:numPr>
          <w:ilvl w:val="0"/>
          <w:numId w:val="1"/>
        </w:numPr>
        <w:spacing w:beforeLines="50" w:afterLines="50"/>
        <w:ind w:firstLineChars="0"/>
        <w:jc w:val="both"/>
        <w:rPr>
          <w:rFonts w:ascii="宋体" w:hAnsi="宋体" w:eastAsia="宋体" w:cs="宋体"/>
          <w:b/>
          <w:bCs/>
          <w:sz w:val="36"/>
          <w:szCs w:val="36"/>
        </w:rPr>
      </w:pPr>
      <w:r>
        <w:rPr>
          <w:rFonts w:hint="eastAsia" w:ascii="宋体" w:hAnsi="宋体" w:eastAsia="宋体" w:cs="宋体"/>
          <w:b/>
          <w:bCs/>
          <w:sz w:val="36"/>
          <w:szCs w:val="36"/>
        </w:rPr>
        <w:t>项目绩效目标和指标设定情况</w:t>
      </w:r>
    </w:p>
    <w:p>
      <w:pPr>
        <w:numPr>
          <w:numId w:val="0"/>
        </w:numPr>
        <w:rPr>
          <w:rFonts w:eastAsia="仿宋_GB2312"/>
          <w:sz w:val="32"/>
          <w:szCs w:val="32"/>
        </w:rPr>
      </w:pPr>
      <w:r>
        <w:rPr>
          <w:rFonts w:hint="eastAsia" w:eastAsia="仿宋_GB2312"/>
          <w:sz w:val="32"/>
          <w:szCs w:val="32"/>
          <w:lang w:val="en-US" w:eastAsia="zh-CN"/>
        </w:rPr>
        <w:t>(一)</w:t>
      </w:r>
      <w:r>
        <w:rPr>
          <w:rFonts w:hint="eastAsia" w:eastAsia="仿宋_GB2312"/>
          <w:sz w:val="32"/>
          <w:szCs w:val="32"/>
        </w:rPr>
        <w:t>科技工作取得长足进展</w:t>
      </w:r>
    </w:p>
    <w:p>
      <w:pPr>
        <w:ind w:firstLine="640" w:firstLineChars="200"/>
        <w:rPr>
          <w:rFonts w:ascii="华文仿宋" w:hAnsi="华文仿宋" w:eastAsia="华文仿宋" w:cs="华文仿宋"/>
          <w:sz w:val="32"/>
          <w:szCs w:val="32"/>
        </w:rPr>
      </w:pPr>
      <w:r>
        <w:rPr>
          <w:rFonts w:hint="eastAsia" w:ascii="华文仿宋" w:hAnsi="华文仿宋" w:eastAsia="华文仿宋" w:cs="华文仿宋"/>
          <w:sz w:val="32"/>
          <w:szCs w:val="32"/>
        </w:rPr>
        <w:t>1、</w:t>
      </w:r>
      <w:r>
        <w:rPr>
          <w:rFonts w:hint="eastAsia" w:ascii="华文楷体" w:hAnsi="华文楷体" w:eastAsia="华文楷体" w:cs="华文楷体"/>
          <w:sz w:val="32"/>
          <w:szCs w:val="32"/>
        </w:rPr>
        <w:t>科技型中小企业</w:t>
      </w:r>
      <w:r>
        <w:rPr>
          <w:rFonts w:hint="eastAsia" w:ascii="华文仿宋" w:hAnsi="华文仿宋" w:eastAsia="华文仿宋" w:cs="华文仿宋"/>
          <w:sz w:val="32"/>
          <w:szCs w:val="32"/>
        </w:rPr>
        <w:t>。全年新认定科技型中小企业65家，全县有效科技型中小企业总数达到368家。</w:t>
      </w:r>
    </w:p>
    <w:p>
      <w:pPr>
        <w:spacing w:line="600" w:lineRule="exact"/>
        <w:ind w:firstLine="640" w:firstLineChars="200"/>
        <w:rPr>
          <w:rFonts w:ascii="华文仿宋" w:hAnsi="华文仿宋" w:eastAsia="华文仿宋" w:cs="华文仿宋"/>
          <w:sz w:val="32"/>
          <w:szCs w:val="32"/>
        </w:rPr>
      </w:pPr>
      <w:r>
        <w:rPr>
          <w:rFonts w:hint="eastAsia" w:ascii="华文仿宋" w:hAnsi="华文仿宋" w:eastAsia="华文仿宋" w:cs="华文仿宋"/>
          <w:sz w:val="32"/>
          <w:szCs w:val="32"/>
        </w:rPr>
        <w:t>2、</w:t>
      </w:r>
      <w:r>
        <w:rPr>
          <w:rFonts w:hint="eastAsia" w:ascii="华文楷体" w:hAnsi="华文楷体" w:eastAsia="华文楷体" w:cs="华文楷体"/>
          <w:sz w:val="32"/>
          <w:szCs w:val="32"/>
        </w:rPr>
        <w:t>高新技术企业</w:t>
      </w:r>
      <w:r>
        <w:rPr>
          <w:rFonts w:hint="eastAsia" w:ascii="华文仿宋" w:hAnsi="华文仿宋" w:eastAsia="华文仿宋" w:cs="华文仿宋"/>
          <w:sz w:val="32"/>
          <w:szCs w:val="32"/>
        </w:rPr>
        <w:t>。先后到奎山水泥、安鼓汽配、博志设备、天丰金属、华丽纸制品、红帽子制盖、新得利食品、松晶电子、可耐信钉业、军昊实业等10家企业开展调研与对接，帮助企业开展高新技术企业入库培育，目前安鼓汽配、天丰金属、博志设备、华丽纸业等4家企业通过评审认定并已公示。</w:t>
      </w:r>
    </w:p>
    <w:p>
      <w:pPr>
        <w:spacing w:line="580" w:lineRule="exact"/>
        <w:ind w:firstLine="640" w:firstLineChars="200"/>
        <w:rPr>
          <w:rFonts w:ascii="华文细黑" w:hAnsi="华文细黑" w:eastAsia="华文细黑" w:cs="华文细黑"/>
          <w:bCs/>
          <w:sz w:val="32"/>
          <w:szCs w:val="32"/>
        </w:rPr>
      </w:pPr>
      <w:r>
        <w:rPr>
          <w:rFonts w:hint="eastAsia" w:ascii="华文仿宋" w:hAnsi="华文仿宋" w:eastAsia="华文仿宋" w:cs="华文仿宋"/>
          <w:sz w:val="32"/>
          <w:szCs w:val="32"/>
        </w:rPr>
        <w:t>3、</w:t>
      </w:r>
      <w:r>
        <w:rPr>
          <w:rFonts w:hint="eastAsia" w:ascii="华文楷体" w:hAnsi="华文楷体" w:eastAsia="华文楷体" w:cs="华文楷体"/>
          <w:bCs/>
          <w:sz w:val="32"/>
          <w:szCs w:val="32"/>
        </w:rPr>
        <w:t>科技成果转化。</w:t>
      </w:r>
      <w:r>
        <w:rPr>
          <w:rFonts w:hint="eastAsia" w:ascii="华文仿宋" w:hAnsi="华文仿宋" w:eastAsia="华文仿宋" w:cs="华文仿宋"/>
          <w:sz w:val="32"/>
          <w:szCs w:val="32"/>
        </w:rPr>
        <w:t>积极开展校企对接活动，组织企业与高等院校科研院所开展精准对接活动6次，帮助隆尧怡东农牧公司与隆尧怡东农牧有限公司与北京联合大学、石家庄市农林科学研究院开展小檗碱生物防控技术成果转化工作，并承担了省级重大科技成果转化项目，获得200万元资金支持。帮助今麦郎公司与河北农业大学开展技术合作，承担省级农业科技园区建设项目，获得50万元资金支持。帮助隆科水处理有限公司与华东理工大学开展技术合作。</w:t>
      </w:r>
    </w:p>
    <w:p>
      <w:pPr>
        <w:spacing w:line="600" w:lineRule="exact"/>
        <w:ind w:firstLine="640" w:firstLineChars="200"/>
        <w:rPr>
          <w:rFonts w:ascii="华文仿宋" w:hAnsi="华文仿宋" w:eastAsia="华文仿宋" w:cs="华文仿宋"/>
          <w:sz w:val="32"/>
          <w:szCs w:val="32"/>
        </w:rPr>
      </w:pPr>
      <w:r>
        <w:rPr>
          <w:rFonts w:hint="eastAsia" w:ascii="华文仿宋" w:hAnsi="华文仿宋" w:eastAsia="华文仿宋" w:cs="华文仿宋"/>
          <w:sz w:val="32"/>
          <w:szCs w:val="32"/>
        </w:rPr>
        <w:t>4、“</w:t>
      </w:r>
      <w:r>
        <w:rPr>
          <w:rFonts w:hint="eastAsia" w:ascii="华文楷体" w:hAnsi="华文楷体" w:eastAsia="华文楷体" w:cs="华文楷体"/>
          <w:sz w:val="32"/>
          <w:szCs w:val="32"/>
        </w:rPr>
        <w:t>双创双服”活动</w:t>
      </w:r>
      <w:r>
        <w:rPr>
          <w:rFonts w:hint="eastAsia" w:ascii="华文仿宋" w:hAnsi="华文仿宋" w:eastAsia="华文仿宋" w:cs="华文仿宋"/>
          <w:sz w:val="32"/>
          <w:szCs w:val="32"/>
        </w:rPr>
        <w:t>。今年新认定星创天地1家，即隆尧县怡东农牧星创空间，使全县总数达到3家。围绕河北省面制品产业技术研究院建设，做好成果转化和技术攻关，组织江南大学、河北农大等深入产业研究院开展技术合作与考察，解决产业发展共性及关键技术10项，加快产业创新步伐，引领面制品产业发展。</w:t>
      </w:r>
    </w:p>
    <w:p>
      <w:pPr>
        <w:spacing w:line="600" w:lineRule="exact"/>
        <w:ind w:firstLine="640" w:firstLineChars="200"/>
        <w:rPr>
          <w:rFonts w:ascii="华文细黑" w:hAnsi="华文细黑" w:eastAsia="华文细黑" w:cs="华文细黑"/>
          <w:sz w:val="32"/>
          <w:szCs w:val="32"/>
        </w:rPr>
      </w:pPr>
      <w:r>
        <w:rPr>
          <w:rFonts w:hint="eastAsia" w:ascii="华文细黑" w:hAnsi="华文细黑" w:eastAsia="华文细黑" w:cs="华文细黑"/>
          <w:sz w:val="32"/>
          <w:szCs w:val="32"/>
          <w:lang w:eastAsia="zh-CN"/>
        </w:rPr>
        <w:t>（</w:t>
      </w:r>
      <w:r>
        <w:rPr>
          <w:rFonts w:hint="eastAsia" w:ascii="华文细黑" w:hAnsi="华文细黑" w:eastAsia="华文细黑" w:cs="华文细黑"/>
          <w:sz w:val="32"/>
          <w:szCs w:val="32"/>
        </w:rPr>
        <w:t>二</w:t>
      </w:r>
      <w:r>
        <w:rPr>
          <w:rFonts w:hint="eastAsia" w:ascii="华文细黑" w:hAnsi="华文细黑" w:eastAsia="华文细黑" w:cs="华文细黑"/>
          <w:sz w:val="32"/>
          <w:szCs w:val="32"/>
          <w:lang w:eastAsia="zh-CN"/>
        </w:rPr>
        <w:t>）</w:t>
      </w:r>
      <w:r>
        <w:rPr>
          <w:rFonts w:hint="eastAsia" w:ascii="华文细黑" w:hAnsi="华文细黑" w:eastAsia="华文细黑" w:cs="华文细黑"/>
          <w:sz w:val="32"/>
          <w:szCs w:val="32"/>
        </w:rPr>
        <w:t>工信工作取得明显进步</w:t>
      </w:r>
    </w:p>
    <w:p>
      <w:pPr>
        <w:spacing w:line="600" w:lineRule="exact"/>
        <w:ind w:firstLine="640" w:firstLineChars="200"/>
        <w:rPr>
          <w:rFonts w:ascii="华文仿宋" w:hAnsi="华文仿宋" w:eastAsia="华文仿宋" w:cs="华文仿宋"/>
          <w:color w:val="000000"/>
          <w:sz w:val="32"/>
          <w:szCs w:val="32"/>
        </w:rPr>
      </w:pPr>
      <w:r>
        <w:rPr>
          <w:rFonts w:hint="eastAsia" w:ascii="华文细黑" w:hAnsi="华文细黑" w:eastAsia="华文细黑" w:cs="华文细黑"/>
          <w:sz w:val="32"/>
          <w:szCs w:val="32"/>
        </w:rPr>
        <w:t>1、</w:t>
      </w:r>
      <w:r>
        <w:rPr>
          <w:rFonts w:hint="eastAsia" w:ascii="华文楷体" w:hAnsi="华文楷体" w:eastAsia="华文楷体" w:cs="华文楷体"/>
          <w:sz w:val="32"/>
          <w:szCs w:val="32"/>
        </w:rPr>
        <w:t>民营经济平稳运行。</w:t>
      </w:r>
      <w:r>
        <w:rPr>
          <w:rFonts w:hint="eastAsia" w:ascii="华文仿宋" w:hAnsi="华文仿宋" w:eastAsia="华文仿宋" w:cs="华文仿宋"/>
          <w:sz w:val="32"/>
          <w:szCs w:val="32"/>
        </w:rPr>
        <w:t>全县拥有民营经济单位9607个（其中民营企业544家），从业人员12.3万人。规模以上工业企业平稳运行，累计完成生产总值102.4亿元，同比增长14.5%；完成增加值增速10.3%，全市排第12名;</w:t>
      </w:r>
      <w:r>
        <w:rPr>
          <w:rFonts w:hint="eastAsia" w:ascii="华文仿宋" w:hAnsi="华文仿宋" w:eastAsia="华文仿宋" w:cs="华文仿宋"/>
          <w:color w:val="000000"/>
          <w:sz w:val="32"/>
          <w:szCs w:val="32"/>
        </w:rPr>
        <w:t xml:space="preserve"> 实现主营业务收入111.7亿元，同比增长15.9%。</w:t>
      </w:r>
      <w:r>
        <w:rPr>
          <w:rFonts w:hint="eastAsia" w:ascii="华文仿宋" w:hAnsi="华文仿宋" w:eastAsia="华文仿宋" w:cs="华文仿宋"/>
          <w:sz w:val="32"/>
          <w:szCs w:val="32"/>
        </w:rPr>
        <w:t xml:space="preserve"> </w:t>
      </w:r>
    </w:p>
    <w:p>
      <w:pPr>
        <w:pStyle w:val="4"/>
        <w:spacing w:before="0" w:beforeAutospacing="0" w:after="0" w:afterAutospacing="0" w:line="600" w:lineRule="exact"/>
        <w:ind w:firstLine="640" w:firstLineChars="200"/>
        <w:rPr>
          <w:rFonts w:ascii="华文仿宋" w:hAnsi="华文仿宋" w:eastAsia="华文仿宋" w:cs="华文仿宋"/>
          <w:sz w:val="32"/>
          <w:szCs w:val="32"/>
        </w:rPr>
      </w:pPr>
      <w:r>
        <w:rPr>
          <w:rFonts w:hint="eastAsia" w:ascii="华文细黑" w:hAnsi="华文细黑" w:eastAsia="华文细黑" w:cs="华文细黑"/>
          <w:bCs/>
          <w:sz w:val="32"/>
          <w:szCs w:val="32"/>
        </w:rPr>
        <w:t>2、</w:t>
      </w:r>
      <w:r>
        <w:rPr>
          <w:rFonts w:hint="eastAsia" w:ascii="华文楷体" w:hAnsi="华文楷体" w:eastAsia="华文楷体" w:cs="华文楷体"/>
          <w:bCs/>
          <w:sz w:val="32"/>
          <w:szCs w:val="32"/>
        </w:rPr>
        <w:t>主导产业进一步壮大。（</w:t>
      </w:r>
      <w:r>
        <w:rPr>
          <w:rFonts w:hint="eastAsia" w:ascii="华文楷体" w:hAnsi="华文楷体" w:eastAsia="华文楷体" w:cs="华文楷体"/>
          <w:sz w:val="32"/>
          <w:szCs w:val="32"/>
        </w:rPr>
        <w:t>1）</w:t>
      </w:r>
      <w:r>
        <w:rPr>
          <w:rFonts w:hint="eastAsia" w:ascii="仿宋" w:hAnsi="仿宋" w:eastAsia="仿宋"/>
          <w:sz w:val="32"/>
          <w:szCs w:val="32"/>
        </w:rPr>
        <w:t>、</w:t>
      </w:r>
      <w:r>
        <w:rPr>
          <w:rFonts w:hint="eastAsia" w:ascii="华文楷体" w:hAnsi="华文楷体" w:eastAsia="华文楷体" w:cs="华文楷体"/>
          <w:sz w:val="32"/>
          <w:szCs w:val="32"/>
        </w:rPr>
        <w:t>食品产业</w:t>
      </w:r>
      <w:r>
        <w:rPr>
          <w:rFonts w:hint="eastAsia" w:ascii="仿宋" w:hAnsi="仿宋" w:eastAsia="仿宋"/>
          <w:sz w:val="32"/>
          <w:szCs w:val="32"/>
        </w:rPr>
        <w:t>：</w:t>
      </w:r>
      <w:r>
        <w:rPr>
          <w:rFonts w:hint="eastAsia" w:ascii="华文仿宋" w:hAnsi="华文仿宋" w:eastAsia="华文仿宋" w:cs="华文仿宋"/>
          <w:sz w:val="32"/>
          <w:szCs w:val="32"/>
          <w:shd w:val="clear" w:color="auto" w:fill="FFFFFF"/>
        </w:rPr>
        <w:t>今年以来，</w:t>
      </w:r>
      <w:r>
        <w:rPr>
          <w:rFonts w:hint="eastAsia" w:ascii="华文仿宋" w:hAnsi="华文仿宋" w:eastAsia="华文仿宋" w:cs="华文仿宋"/>
          <w:sz w:val="32"/>
          <w:szCs w:val="32"/>
        </w:rPr>
        <w:t>食品制造及配套企业完成产值64.6亿元，同比增长10.1%；完成销售收入73.2亿元，同比增长14.7%；实现利润7.1亿元，同比下降15.2%。（</w:t>
      </w:r>
      <w:r>
        <w:rPr>
          <w:rFonts w:hint="eastAsia" w:ascii="华文楷体" w:hAnsi="华文楷体" w:eastAsia="华文楷体" w:cs="华文楷体"/>
          <w:sz w:val="32"/>
          <w:szCs w:val="32"/>
        </w:rPr>
        <w:t>2）</w:t>
      </w:r>
      <w:r>
        <w:rPr>
          <w:rFonts w:hint="eastAsia" w:ascii="仿宋" w:hAnsi="仿宋" w:eastAsia="仿宋" w:cs="仿宋_GB2312"/>
          <w:sz w:val="32"/>
          <w:szCs w:val="32"/>
        </w:rPr>
        <w:t>、</w:t>
      </w:r>
      <w:r>
        <w:rPr>
          <w:rFonts w:hint="eastAsia" w:ascii="华文楷体" w:hAnsi="华文楷体" w:eastAsia="华文楷体" w:cs="华文楷体"/>
          <w:sz w:val="32"/>
          <w:szCs w:val="32"/>
        </w:rPr>
        <w:t>装备制造产业</w:t>
      </w:r>
      <w:r>
        <w:rPr>
          <w:rFonts w:hint="eastAsia" w:ascii="仿宋" w:hAnsi="仿宋" w:eastAsia="仿宋" w:cs="仿宋_GB2312"/>
          <w:sz w:val="32"/>
          <w:szCs w:val="32"/>
        </w:rPr>
        <w:t>：</w:t>
      </w:r>
      <w:r>
        <w:rPr>
          <w:rFonts w:hint="eastAsia" w:ascii="华文仿宋" w:hAnsi="华文仿宋" w:eastAsia="华文仿宋" w:cs="华文仿宋"/>
          <w:sz w:val="32"/>
          <w:szCs w:val="32"/>
        </w:rPr>
        <w:t>目前，我县已成为中国北方最大的中低压阀门制造基地和华北地区最大的汽车制动鼓生产基地。今年以来，装备制造企业完成产值23.1亿元，同比增长14.8%；完成销售收入23.9亿元，同比增长17.8%；实现利润1.3亿元，同比增长106%。其中，汽车配件企业实现产值5.2亿元，同比增长2.9%，完成销售收入3.6亿元，同比下降0.6%，实现利润208万元，同比下降46.9%；</w:t>
      </w:r>
      <w:r>
        <w:rPr>
          <w:rFonts w:hint="eastAsia" w:ascii="华文仿宋" w:hAnsi="华文仿宋" w:eastAsia="华文仿宋" w:cs="华文仿宋"/>
          <w:bCs/>
          <w:sz w:val="32"/>
          <w:szCs w:val="32"/>
        </w:rPr>
        <w:t>五金制钉</w:t>
      </w:r>
      <w:r>
        <w:rPr>
          <w:rFonts w:hint="eastAsia" w:ascii="华文仿宋" w:hAnsi="华文仿宋" w:eastAsia="华文仿宋" w:cs="华文仿宋"/>
          <w:sz w:val="32"/>
          <w:szCs w:val="32"/>
        </w:rPr>
        <w:t>实现产值2.9亿元，同比增长21.7%，完成销售收入2.2亿元，同比增长4.8%，实现利润580万元，同比下降16.8%。</w:t>
      </w:r>
    </w:p>
    <w:p>
      <w:pPr>
        <w:widowControl/>
        <w:shd w:val="clear" w:color="auto" w:fill="FFFFFF"/>
        <w:spacing w:line="600" w:lineRule="exact"/>
        <w:ind w:firstLine="640" w:firstLineChars="200"/>
        <w:rPr>
          <w:rFonts w:ascii="华文仿宋" w:hAnsi="华文仿宋" w:eastAsia="华文仿宋" w:cs="华文仿宋"/>
          <w:color w:val="auto"/>
          <w:sz w:val="32"/>
          <w:szCs w:val="32"/>
        </w:rPr>
      </w:pPr>
      <w:r>
        <w:rPr>
          <w:rFonts w:hint="eastAsia" w:ascii="华文楷体" w:hAnsi="华文楷体" w:eastAsia="华文楷体" w:cs="华文楷体"/>
          <w:bCs/>
          <w:color w:val="auto"/>
          <w:sz w:val="32"/>
          <w:szCs w:val="32"/>
        </w:rPr>
        <w:t>3、加大技术改造力度。</w:t>
      </w:r>
      <w:r>
        <w:rPr>
          <w:rFonts w:hint="eastAsia" w:ascii="华文仿宋" w:hAnsi="华文仿宋" w:eastAsia="华文仿宋" w:cs="华文仿宋"/>
          <w:color w:val="auto"/>
          <w:sz w:val="32"/>
          <w:szCs w:val="32"/>
        </w:rPr>
        <w:t>今年以来，今麦郎总投资13.2亿元的食品饮品智能化升级项目、远大阀门总投资12.2亿元的北方阀门产业园项目、河北红帽子公司总投资2.2亿元的塑料瓶盖生产项目、龙大公司总投资2亿元年产19亿只食品纸容器项目等项目，预计新增收入86亿，增加税收5.6亿，成为我县新的经济增长点。目前，我们共筛选推荐今麦郎未来面生产项目、远大集团北方阀门产业园项目、三厦公司高档铸铁搪瓷炊具扩能项目、龙大包装制品年产19亿只纸容器项目、红帽子公司年产140亿只塑料瓶盖扩能项目等13个重点工业技改项目纳入省千项重点技改项目库。</w:t>
      </w:r>
    </w:p>
    <w:p>
      <w:pPr>
        <w:pStyle w:val="4"/>
        <w:adjustRightInd w:val="0"/>
        <w:snapToGrid w:val="0"/>
        <w:spacing w:before="0" w:beforeAutospacing="0" w:after="0" w:afterAutospacing="0" w:line="600" w:lineRule="exact"/>
        <w:ind w:firstLine="640" w:firstLineChars="200"/>
        <w:jc w:val="both"/>
        <w:rPr>
          <w:rFonts w:ascii="华文仿宋" w:hAnsi="华文仿宋" w:eastAsia="华文仿宋" w:cs="华文仿宋"/>
          <w:sz w:val="32"/>
          <w:szCs w:val="32"/>
        </w:rPr>
      </w:pPr>
      <w:r>
        <w:rPr>
          <w:rFonts w:hint="eastAsia" w:ascii="华文楷体" w:hAnsi="华文楷体" w:eastAsia="华文楷体" w:cs="华文楷体"/>
          <w:bCs/>
          <w:sz w:val="32"/>
          <w:szCs w:val="32"/>
        </w:rPr>
        <w:t>4、推动工业经济转型升级。</w:t>
      </w:r>
      <w:r>
        <w:rPr>
          <w:rFonts w:hint="eastAsia" w:ascii="华文仿宋" w:hAnsi="华文仿宋" w:eastAsia="华文仿宋" w:cs="华文仿宋"/>
          <w:sz w:val="32"/>
          <w:szCs w:val="32"/>
        </w:rPr>
        <w:t>帮助远大北方阀门产业园项目、三厦公司高档铸铁搪瓷炊具扩能项目争取省级技改资金744万元。指导骨干企业申报数字车间、市级设计中心、购买服务、特色产业发展、稳增长促转型奖励等项目9个，共得到上级资金支持133.5万元。</w:t>
      </w:r>
    </w:p>
    <w:p>
      <w:pPr>
        <w:pStyle w:val="4"/>
        <w:adjustRightInd w:val="0"/>
        <w:snapToGrid w:val="0"/>
        <w:spacing w:before="0" w:beforeAutospacing="0" w:after="0" w:afterAutospacing="0" w:line="600" w:lineRule="exact"/>
        <w:ind w:firstLine="640" w:firstLineChars="200"/>
        <w:jc w:val="both"/>
        <w:rPr>
          <w:rFonts w:ascii="华文仿宋" w:hAnsi="华文仿宋" w:eastAsia="华文仿宋" w:cs="华文仿宋"/>
          <w:sz w:val="32"/>
          <w:szCs w:val="32"/>
        </w:rPr>
      </w:pPr>
      <w:r>
        <w:rPr>
          <w:rFonts w:hint="eastAsia" w:ascii="华文仿宋" w:hAnsi="华文仿宋" w:eastAsia="华文仿宋" w:cs="华文仿宋"/>
          <w:sz w:val="32"/>
          <w:szCs w:val="32"/>
        </w:rPr>
        <w:t>针对汽配和制钉两个传统行业，投资1亿多元，对汽配行业进行了三轮的整治提升工作，企业在环境面貌、环保治理水平、新工艺引进、环保发展意识等方面都有了明显的改变。在此基础上，我们多次聘请中铸协、省铸协专家，到我县调研指导，制定了《隆尧县铸造产业整改提升实施方案》，目前正在按计划推进实施。投资4亿多元完成了河北瀚驰金属制品公司入园区项目的建设，从根本上解决了困扰制钉行业多年的污染难题。</w:t>
      </w:r>
    </w:p>
    <w:p>
      <w:pPr>
        <w:pStyle w:val="4"/>
        <w:adjustRightInd w:val="0"/>
        <w:snapToGrid w:val="0"/>
        <w:spacing w:before="0" w:beforeAutospacing="0" w:after="0" w:afterAutospacing="0" w:line="600" w:lineRule="exact"/>
        <w:ind w:firstLine="640" w:firstLineChars="200"/>
        <w:jc w:val="both"/>
        <w:rPr>
          <w:rFonts w:ascii="华文仿宋" w:hAnsi="华文仿宋" w:eastAsia="华文仿宋" w:cs="华文仿宋"/>
          <w:color w:val="000000"/>
          <w:sz w:val="32"/>
          <w:szCs w:val="32"/>
        </w:rPr>
      </w:pPr>
      <w:r>
        <w:rPr>
          <w:rFonts w:hint="eastAsia" w:ascii="华文仿宋" w:hAnsi="华文仿宋" w:eastAsia="华文仿宋" w:cs="华文仿宋"/>
          <w:sz w:val="32"/>
          <w:szCs w:val="32"/>
        </w:rPr>
        <w:t>橡胶制品是我县东良镇主要产业，但由于污染严重，严重影响了当地环境。今年以来，我们按照县统一安排，对7家橡胶企业进行了整改提升和整合提升。目前，已完成改造提升2家,；正在整改提升的3家；久旭和万隆两家整合为隆尧泽宇橡胶制品厂，目前主要设备已安装完成。</w:t>
      </w:r>
    </w:p>
    <w:p>
      <w:pPr>
        <w:spacing w:line="600" w:lineRule="exact"/>
        <w:ind w:firstLine="660"/>
        <w:jc w:val="left"/>
        <w:rPr>
          <w:rFonts w:ascii="华文仿宋" w:hAnsi="华文仿宋" w:eastAsia="华文仿宋" w:cs="华文仿宋"/>
          <w:color w:val="FF0000"/>
          <w:kern w:val="0"/>
          <w:sz w:val="32"/>
          <w:szCs w:val="32"/>
        </w:rPr>
      </w:pPr>
      <w:r>
        <w:rPr>
          <w:rFonts w:hint="eastAsia" w:ascii="华文楷体" w:hAnsi="华文楷体" w:eastAsia="华文楷体" w:cs="华文楷体"/>
          <w:b/>
          <w:sz w:val="32"/>
          <w:szCs w:val="32"/>
        </w:rPr>
        <w:t>5、</w:t>
      </w:r>
      <w:r>
        <w:rPr>
          <w:rFonts w:hint="eastAsia" w:ascii="华文楷体" w:hAnsi="华文楷体" w:eastAsia="华文楷体" w:cs="华文楷体"/>
          <w:bCs/>
          <w:color w:val="000000"/>
          <w:kern w:val="0"/>
          <w:sz w:val="32"/>
          <w:szCs w:val="32"/>
        </w:rPr>
        <w:t>关注小微企业成长。</w:t>
      </w:r>
      <w:r>
        <w:rPr>
          <w:rFonts w:hint="eastAsia" w:ascii="华文仿宋" w:hAnsi="华文仿宋" w:eastAsia="华文仿宋" w:cs="华文仿宋"/>
          <w:color w:val="000000"/>
          <w:kern w:val="0"/>
          <w:sz w:val="32"/>
          <w:szCs w:val="32"/>
        </w:rPr>
        <w:t>一是以上年主营业务收入1000万元至2000万元的中小微工业企业为重点，建立规模以上工业企业重点培育库，对重点企业实施台账化管理，开展“一对一”的帮扶培育，促进小微企业成长。目前银龙水务、金隆水泥、平兴食品、航隆汽车等4家企业入统材料申报完毕，另有2家企业正在培育中，力争圆满实现保3争5的任务目标。二是帮助龙大、百龙等4家企业申请“专精特新”企业。帮助龙大、远大申请“新产品新技术”企业。认定研发机构12家，其中A级2家，C级10家。在河北省千家领军型企业名单中，今麦郎获得行业龙头型领军企业，远大阀门获得创新引领型领军企业，三厦铸铁公司获得单项冠军企业。帮助奎山水泥、红帽子制盖等5家企业申请上云资金补贴。</w:t>
      </w:r>
    </w:p>
    <w:p>
      <w:pPr>
        <w:pStyle w:val="4"/>
        <w:adjustRightInd w:val="0"/>
        <w:snapToGrid w:val="0"/>
        <w:spacing w:before="0" w:beforeAutospacing="0" w:after="0" w:afterAutospacing="0" w:line="600" w:lineRule="exact"/>
        <w:ind w:firstLine="640" w:firstLineChars="200"/>
        <w:jc w:val="both"/>
        <w:rPr>
          <w:rFonts w:ascii="华文仿宋" w:hAnsi="华文仿宋" w:eastAsia="华文仿宋" w:cs="华文仿宋"/>
          <w:color w:val="000000" w:themeColor="text1"/>
          <w:sz w:val="32"/>
          <w:szCs w:val="32"/>
          <w14:textFill>
            <w14:solidFill>
              <w14:schemeClr w14:val="tx1"/>
            </w14:solidFill>
          </w14:textFill>
        </w:rPr>
      </w:pPr>
      <w:r>
        <w:rPr>
          <w:rFonts w:hint="eastAsia" w:ascii="华文楷体" w:hAnsi="华文楷体" w:eastAsia="华文楷体" w:cs="华文楷体"/>
          <w:sz w:val="32"/>
          <w:szCs w:val="32"/>
        </w:rPr>
        <w:t>6、加强企业家队伍建设。</w:t>
      </w:r>
      <w:r>
        <w:rPr>
          <w:rFonts w:hint="eastAsia" w:ascii="华文仿宋" w:hAnsi="华文仿宋" w:eastAsia="华文仿宋" w:cs="华文仿宋"/>
          <w:color w:val="000000"/>
          <w:sz w:val="32"/>
          <w:szCs w:val="32"/>
        </w:rPr>
        <w:t>今年以来，</w:t>
      </w:r>
      <w:r>
        <w:rPr>
          <w:rFonts w:hint="eastAsia" w:ascii="华文仿宋" w:hAnsi="华文仿宋" w:eastAsia="华文仿宋" w:cs="华文仿宋"/>
          <w:color w:val="000000" w:themeColor="text1"/>
          <w:sz w:val="32"/>
          <w:szCs w:val="32"/>
          <w14:textFill>
            <w14:solidFill>
              <w14:schemeClr w14:val="tx1"/>
            </w14:solidFill>
          </w14:textFill>
        </w:rPr>
        <w:t>开展企业家培训3次，邀请专家来我县举办讲座和调研指导8次，组织企业外出参观交流5次，有效提高了企业家整体素质。</w:t>
      </w:r>
    </w:p>
    <w:p>
      <w:pPr>
        <w:adjustRightInd/>
        <w:snapToGrid/>
        <w:spacing w:beforeLines="50" w:afterLines="50"/>
        <w:rPr>
          <w:rFonts w:hint="eastAsia" w:cs="宋体" w:asciiTheme="minorEastAsia" w:hAnsiTheme="minorEastAsia" w:eastAsiaTheme="minorEastAsia"/>
          <w:b/>
          <w:bCs/>
          <w:sz w:val="36"/>
          <w:szCs w:val="36"/>
        </w:rPr>
      </w:pPr>
      <w:r>
        <w:rPr>
          <w:rFonts w:hint="eastAsia" w:cs="宋体" w:asciiTheme="minorEastAsia" w:hAnsiTheme="minorEastAsia" w:eastAsiaTheme="minorEastAsia"/>
          <w:b/>
          <w:bCs/>
          <w:sz w:val="36"/>
          <w:szCs w:val="36"/>
        </w:rPr>
        <w:t>四、项目绩效自评情况</w:t>
      </w:r>
    </w:p>
    <w:p>
      <w:pPr>
        <w:snapToGrid/>
        <w:spacing w:afterLines="50"/>
        <w:ind w:firstLine="602" w:firstLineChars="200"/>
        <w:rPr>
          <w:rFonts w:ascii="仿宋" w:hAnsi="仿宋" w:eastAsia="仿宋" w:cs="仿宋_GB2312"/>
          <w:sz w:val="28"/>
          <w:szCs w:val="28"/>
        </w:rPr>
      </w:pPr>
      <w:r>
        <w:rPr>
          <w:rFonts w:hint="eastAsia" w:cs="宋体" w:asciiTheme="minorEastAsia" w:hAnsiTheme="minorEastAsia" w:eastAsiaTheme="minorEastAsia"/>
          <w:b/>
          <w:bCs/>
          <w:sz w:val="30"/>
          <w:szCs w:val="30"/>
        </w:rPr>
        <w:t xml:space="preserve"> </w:t>
      </w:r>
      <w:r>
        <w:rPr>
          <w:rFonts w:hint="eastAsia" w:ascii="仿宋" w:hAnsi="仿宋" w:eastAsia="仿宋" w:cs="宋体"/>
          <w:bCs/>
          <w:sz w:val="28"/>
          <w:szCs w:val="28"/>
        </w:rPr>
        <w:t>我单位在2019年根据县财政局的</w:t>
      </w:r>
      <w:r>
        <w:rPr>
          <w:rFonts w:hint="eastAsia" w:ascii="仿宋" w:hAnsi="仿宋" w:eastAsia="仿宋" w:cs="仿宋_GB2312"/>
          <w:sz w:val="28"/>
          <w:szCs w:val="28"/>
        </w:rPr>
        <w:t>绩效自评工作要求，围绕财政中心工作，积极推进绩效自评工作，成立了相对完整的绩效自评组织，积极推进绩效自评工作。</w:t>
      </w:r>
    </w:p>
    <w:p>
      <w:pPr>
        <w:snapToGrid/>
        <w:spacing w:after="50"/>
        <w:ind w:firstLine="560" w:firstLineChars="200"/>
        <w:rPr>
          <w:rFonts w:hint="eastAsia" w:ascii="仿宋" w:hAnsi="仿宋" w:eastAsia="仿宋" w:cs="仿宋_GB2312"/>
          <w:sz w:val="28"/>
          <w:szCs w:val="28"/>
        </w:rPr>
      </w:pPr>
      <w:r>
        <w:rPr>
          <w:rFonts w:hint="eastAsia" w:ascii="仿宋" w:hAnsi="仿宋" w:eastAsia="仿宋" w:cs="仿宋_GB2312"/>
          <w:sz w:val="28"/>
          <w:szCs w:val="28"/>
        </w:rPr>
        <w:t>2019年我单位整体绩效实现情况较好，基本实现年初设定的绩效目标，各项工作得到有序推进。</w:t>
      </w:r>
    </w:p>
    <w:p>
      <w:pPr>
        <w:adjustRightInd/>
        <w:snapToGrid/>
        <w:spacing w:beforeLines="50" w:afterLines="50"/>
        <w:rPr>
          <w:rFonts w:cs="宋体" w:asciiTheme="minorEastAsia" w:hAnsiTheme="minorEastAsia" w:eastAsiaTheme="minorEastAsia"/>
          <w:b/>
          <w:bCs/>
          <w:sz w:val="36"/>
          <w:szCs w:val="36"/>
        </w:rPr>
      </w:pPr>
      <w:r>
        <w:rPr>
          <w:rFonts w:hint="eastAsia" w:cs="宋体" w:asciiTheme="minorEastAsia" w:hAnsiTheme="minorEastAsia" w:eastAsiaTheme="minorEastAsia"/>
          <w:b/>
          <w:bCs/>
          <w:sz w:val="36"/>
          <w:szCs w:val="36"/>
        </w:rPr>
        <w:t>五、项目存在的问题、改进工作的意见及建议</w:t>
      </w:r>
    </w:p>
    <w:p>
      <w:pPr>
        <w:adjustRightInd/>
        <w:snapToGrid/>
        <w:spacing w:beforeLines="50" w:afterLines="50"/>
        <w:rPr>
          <w:rFonts w:hint="eastAsia" w:ascii="仿宋" w:hAnsi="仿宋" w:eastAsia="仿宋" w:cs="宋体"/>
          <w:bCs/>
          <w:sz w:val="30"/>
          <w:szCs w:val="30"/>
          <w:lang w:eastAsia="zh-CN"/>
        </w:rPr>
      </w:pPr>
      <w:r>
        <w:rPr>
          <w:rFonts w:hint="eastAsia" w:cs="宋体" w:asciiTheme="minorEastAsia" w:hAnsiTheme="minorEastAsia" w:eastAsiaTheme="minorEastAsia"/>
          <w:b/>
          <w:bCs/>
          <w:sz w:val="30"/>
          <w:szCs w:val="30"/>
        </w:rPr>
        <w:t xml:space="preserve">     </w:t>
      </w:r>
      <w:r>
        <w:rPr>
          <w:rFonts w:hint="eastAsia" w:cs="宋体" w:asciiTheme="minorEastAsia" w:hAnsiTheme="minorEastAsia" w:eastAsiaTheme="minorEastAsia"/>
          <w:b w:val="0"/>
          <w:bCs w:val="0"/>
          <w:color w:val="auto"/>
          <w:sz w:val="30"/>
          <w:szCs w:val="30"/>
          <w:lang w:eastAsia="zh-CN"/>
        </w:rPr>
        <w:t>一是</w:t>
      </w:r>
      <w:r>
        <w:rPr>
          <w:rFonts w:hint="eastAsia" w:ascii="仿宋" w:hAnsi="仿宋" w:eastAsia="仿宋" w:cs="宋体"/>
          <w:bCs/>
          <w:sz w:val="30"/>
          <w:szCs w:val="30"/>
        </w:rPr>
        <w:t>我单位</w:t>
      </w:r>
      <w:r>
        <w:rPr>
          <w:rFonts w:hint="eastAsia" w:ascii="仿宋" w:hAnsi="仿宋" w:eastAsia="仿宋" w:cs="宋体"/>
          <w:bCs/>
          <w:sz w:val="30"/>
          <w:szCs w:val="30"/>
          <w:lang w:eastAsia="zh-CN"/>
        </w:rPr>
        <w:t>涉及机构合并，在制定目标和具体实施过程中存在较大改变，随时不断进行调整完善。</w:t>
      </w:r>
    </w:p>
    <w:p>
      <w:pPr>
        <w:adjustRightInd/>
        <w:snapToGrid/>
        <w:spacing w:beforeLines="50" w:afterLines="50"/>
        <w:ind w:firstLine="600" w:firstLineChars="200"/>
        <w:rPr>
          <w:rFonts w:ascii="仿宋" w:hAnsi="仿宋" w:eastAsia="仿宋" w:cs="宋体"/>
          <w:bCs/>
          <w:sz w:val="30"/>
          <w:szCs w:val="30"/>
        </w:rPr>
      </w:pPr>
      <w:r>
        <w:rPr>
          <w:rFonts w:hint="eastAsia" w:ascii="仿宋" w:hAnsi="仿宋" w:eastAsia="仿宋" w:cs="宋体"/>
          <w:bCs/>
          <w:sz w:val="30"/>
          <w:szCs w:val="30"/>
        </w:rPr>
        <w:t>二是方案规划目标</w:t>
      </w:r>
      <w:r>
        <w:rPr>
          <w:rFonts w:hint="eastAsia" w:ascii="仿宋" w:hAnsi="仿宋" w:eastAsia="仿宋" w:cs="宋体"/>
          <w:bCs/>
          <w:sz w:val="30"/>
          <w:szCs w:val="30"/>
          <w:lang w:eastAsia="zh-CN"/>
        </w:rPr>
        <w:t>和落实存在偏差</w:t>
      </w:r>
      <w:r>
        <w:rPr>
          <w:rFonts w:hint="eastAsia" w:ascii="仿宋" w:hAnsi="仿宋" w:eastAsia="仿宋" w:cs="宋体"/>
          <w:bCs/>
          <w:sz w:val="30"/>
          <w:szCs w:val="30"/>
        </w:rPr>
        <w:t>，</w:t>
      </w:r>
      <w:r>
        <w:rPr>
          <w:rFonts w:hint="eastAsia" w:ascii="仿宋" w:hAnsi="仿宋" w:eastAsia="仿宋" w:cs="宋体"/>
          <w:bCs/>
          <w:sz w:val="30"/>
          <w:szCs w:val="30"/>
          <w:lang w:eastAsia="zh-CN"/>
        </w:rPr>
        <w:t>主要是机构合并造成的。</w:t>
      </w:r>
      <w:r>
        <w:rPr>
          <w:rFonts w:hint="eastAsia" w:ascii="仿宋" w:hAnsi="仿宋" w:eastAsia="仿宋" w:cs="宋体"/>
          <w:bCs/>
          <w:sz w:val="30"/>
          <w:szCs w:val="30"/>
        </w:rPr>
        <w:t>以后我单位在制定方案是要细化目标，加强对项目的了解更精确的制定方案在实施。</w:t>
      </w:r>
    </w:p>
    <w:sectPr>
      <w:pgSz w:w="11906" w:h="16838"/>
      <w:pgMar w:top="1440" w:right="1800" w:bottom="1440" w:left="180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0000000000000000000"/>
    <w:charset w:val="00"/>
    <w:family w:val="auto"/>
    <w:pitch w:val="default"/>
    <w:sig w:usb0="00000000" w:usb1="00000000" w:usb2="00000000" w:usb3="00000000" w:csb0="00040001" w:csb1="00000000"/>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华文仿宋">
    <w:altName w:val="仿宋"/>
    <w:panose1 w:val="00000000000000000000"/>
    <w:charset w:val="86"/>
    <w:family w:val="auto"/>
    <w:pitch w:val="default"/>
    <w:sig w:usb0="00000000" w:usb1="00000000" w:usb2="00000000" w:usb3="00000000" w:csb0="0004009F" w:csb1="DFD70000"/>
  </w:font>
  <w:font w:name="华文楷体">
    <w:panose1 w:val="02010600040101010101"/>
    <w:charset w:val="86"/>
    <w:family w:val="auto"/>
    <w:pitch w:val="default"/>
    <w:sig w:usb0="00000287" w:usb1="080F0000" w:usb2="00000000" w:usb3="00000000" w:csb0="0004009F" w:csb1="DFD70000"/>
  </w:font>
  <w:font w:name="华文细黑">
    <w:panose1 w:val="02010600040101010101"/>
    <w:charset w:val="86"/>
    <w:family w:val="auto"/>
    <w:pitch w:val="default"/>
    <w:sig w:usb0="00000287" w:usb1="080F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436131E"/>
    <w:multiLevelType w:val="multilevel"/>
    <w:tmpl w:val="7436131E"/>
    <w:lvl w:ilvl="0" w:tentative="0">
      <w:start w:val="1"/>
      <w:numFmt w:val="japaneseCounting"/>
      <w:lvlText w:val="%1、"/>
      <w:lvlJc w:val="left"/>
      <w:pPr>
        <w:ind w:left="750" w:hanging="750"/>
      </w:pPr>
      <w:rPr>
        <w:rFonts w:hint="default"/>
      </w:rPr>
    </w:lvl>
    <w:lvl w:ilvl="1" w:tentative="0">
      <w:start w:val="1"/>
      <w:numFmt w:val="lowerLetter"/>
      <w:lvlText w:val="%2)"/>
      <w:lvlJc w:val="left"/>
      <w:pPr>
        <w:ind w:left="840" w:hanging="420"/>
      </w:pPr>
    </w:lvl>
    <w:lvl w:ilvl="2" w:tentative="0">
      <w:start w:val="1"/>
      <w:numFmt w:val="lowerRoman"/>
      <w:lvlText w:val="%3."/>
      <w:lvlJc w:val="right"/>
      <w:pPr>
        <w:ind w:left="1260" w:hanging="420"/>
      </w:pPr>
    </w:lvl>
    <w:lvl w:ilvl="3" w:tentative="0">
      <w:start w:val="1"/>
      <w:numFmt w:val="decimal"/>
      <w:lvlText w:val="%4."/>
      <w:lvlJc w:val="left"/>
      <w:pPr>
        <w:ind w:left="1680" w:hanging="420"/>
      </w:pPr>
    </w:lvl>
    <w:lvl w:ilvl="4" w:tentative="0">
      <w:start w:val="1"/>
      <w:numFmt w:val="lowerLetter"/>
      <w:lvlText w:val="%5)"/>
      <w:lvlJc w:val="left"/>
      <w:pPr>
        <w:ind w:left="2100" w:hanging="420"/>
      </w:pPr>
    </w:lvl>
    <w:lvl w:ilvl="5" w:tentative="0">
      <w:start w:val="1"/>
      <w:numFmt w:val="lowerRoman"/>
      <w:lvlText w:val="%6."/>
      <w:lvlJc w:val="right"/>
      <w:pPr>
        <w:ind w:left="2520" w:hanging="420"/>
      </w:pPr>
    </w:lvl>
    <w:lvl w:ilvl="6" w:tentative="0">
      <w:start w:val="1"/>
      <w:numFmt w:val="decimal"/>
      <w:lvlText w:val="%7."/>
      <w:lvlJc w:val="left"/>
      <w:pPr>
        <w:ind w:left="2940" w:hanging="420"/>
      </w:pPr>
    </w:lvl>
    <w:lvl w:ilvl="7" w:tentative="0">
      <w:start w:val="1"/>
      <w:numFmt w:val="lowerLetter"/>
      <w:lvlText w:val="%8)"/>
      <w:lvlJc w:val="left"/>
      <w:pPr>
        <w:ind w:left="3360" w:hanging="420"/>
      </w:pPr>
    </w:lvl>
    <w:lvl w:ilvl="8" w:tentative="0">
      <w:start w:val="1"/>
      <w:numFmt w:val="lowerRoman"/>
      <w:lvlText w:val="%9."/>
      <w:lvlJc w:val="right"/>
      <w:pPr>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86"/>
  <w:doNotDisplayPageBoundaries w:val="1"/>
  <w:bordersDoNotSurroundHeader w:val="1"/>
  <w:bordersDoNotSurroundFooter w:val="1"/>
  <w:documentProtection w:enforcement="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31D50"/>
    <w:rsid w:val="000170A0"/>
    <w:rsid w:val="00060600"/>
    <w:rsid w:val="00255CC0"/>
    <w:rsid w:val="003236DD"/>
    <w:rsid w:val="00323B43"/>
    <w:rsid w:val="003D37D8"/>
    <w:rsid w:val="004018F1"/>
    <w:rsid w:val="00426133"/>
    <w:rsid w:val="004358AB"/>
    <w:rsid w:val="00466548"/>
    <w:rsid w:val="00733E98"/>
    <w:rsid w:val="00854F96"/>
    <w:rsid w:val="008A319B"/>
    <w:rsid w:val="008B2F70"/>
    <w:rsid w:val="008B7726"/>
    <w:rsid w:val="0098291C"/>
    <w:rsid w:val="00B62CD0"/>
    <w:rsid w:val="00C4597B"/>
    <w:rsid w:val="00D07ABB"/>
    <w:rsid w:val="00D31D50"/>
    <w:rsid w:val="5FA21A1F"/>
    <w:rsid w:val="6F22147E"/>
    <w:rsid w:val="76C60B74"/>
    <w:rsid w:val="7971028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uiPriority w:val="99"/>
    <w:pPr>
      <w:tabs>
        <w:tab w:val="center" w:pos="4153"/>
        <w:tab w:val="right" w:pos="8306"/>
      </w:tabs>
    </w:pPr>
    <w:rPr>
      <w:sz w:val="18"/>
      <w:szCs w:val="18"/>
    </w:rPr>
  </w:style>
  <w:style w:type="paragraph" w:styleId="3">
    <w:name w:val="header"/>
    <w:basedOn w:val="1"/>
    <w:link w:val="7"/>
    <w:semiHidden/>
    <w:unhideWhenUsed/>
    <w:uiPriority w:val="99"/>
    <w:pPr>
      <w:pBdr>
        <w:bottom w:val="single" w:color="auto" w:sz="6" w:space="1"/>
      </w:pBdr>
      <w:tabs>
        <w:tab w:val="center" w:pos="4153"/>
        <w:tab w:val="right" w:pos="8306"/>
      </w:tabs>
      <w:jc w:val="center"/>
    </w:pPr>
    <w:rPr>
      <w:sz w:val="18"/>
      <w:szCs w:val="18"/>
    </w:rPr>
  </w:style>
  <w:style w:type="paragraph" w:styleId="4">
    <w:name w:val="Normal (Web)"/>
    <w:basedOn w:val="1"/>
    <w:qFormat/>
    <w:uiPriority w:val="0"/>
    <w:pPr>
      <w:widowControl/>
      <w:spacing w:before="100" w:beforeAutospacing="1" w:after="100" w:afterAutospacing="1"/>
      <w:jc w:val="left"/>
    </w:pPr>
    <w:rPr>
      <w:rFonts w:ascii="宋体" w:hAnsi="宋体" w:cs="宋体"/>
      <w:kern w:val="0"/>
      <w:sz w:val="24"/>
      <w:szCs w:val="24"/>
    </w:rPr>
  </w:style>
  <w:style w:type="character" w:customStyle="1" w:styleId="7">
    <w:name w:val="页眉 Char"/>
    <w:basedOn w:val="6"/>
    <w:link w:val="3"/>
    <w:semiHidden/>
    <w:uiPriority w:val="99"/>
    <w:rPr>
      <w:rFonts w:ascii="Tahoma" w:hAnsi="Tahoma"/>
      <w:sz w:val="18"/>
      <w:szCs w:val="18"/>
    </w:rPr>
  </w:style>
  <w:style w:type="character" w:customStyle="1" w:styleId="8">
    <w:name w:val="页脚 Char"/>
    <w:basedOn w:val="6"/>
    <w:link w:val="2"/>
    <w:semiHidden/>
    <w:uiPriority w:val="99"/>
    <w:rPr>
      <w:rFonts w:ascii="Tahoma" w:hAnsi="Tahoma"/>
      <w:sz w:val="18"/>
      <w:szCs w:val="18"/>
    </w:rPr>
  </w:style>
  <w:style w:type="paragraph" w:styleId="9">
    <w:name w:val="List Paragraph"/>
    <w:basedOn w:val="1"/>
    <w:qFormat/>
    <w:uiPriority w:val="34"/>
    <w:pPr>
      <w:ind w:firstLine="420" w:firstLineChars="200"/>
    </w:pPr>
  </w:style>
  <w:style w:type="paragraph" w:styleId="10">
    <w:name w:val="No Spacing"/>
    <w:qFormat/>
    <w:uiPriority w:val="1"/>
    <w:pPr>
      <w:adjustRightInd w:val="0"/>
      <w:snapToGrid w:val="0"/>
      <w:spacing w:after="0" w:line="240" w:lineRule="auto"/>
    </w:pPr>
    <w:rPr>
      <w:rFonts w:ascii="Tahoma" w:hAnsi="Tahoma" w:eastAsia="微软雅黑" w:cstheme="minorBidi"/>
      <w:sz w:val="22"/>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Pages>
  <Words>414</Words>
  <Characters>2363</Characters>
  <Lines>19</Lines>
  <Paragraphs>5</Paragraphs>
  <TotalTime>4</TotalTime>
  <ScaleCrop>false</ScaleCrop>
  <LinksUpToDate>false</LinksUpToDate>
  <CharactersWithSpaces>2772</CharactersWithSpaces>
  <Application>WPS Office_11.1.0.10132_F1E327BC-269C-435d-A152-05C5408002CA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dc:creator>
  <cp:lastModifiedBy>张晓芳</cp:lastModifiedBy>
  <dcterms:modified xsi:type="dcterms:W3CDTF">2020-11-09T03:20:06Z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2052-11.1.0.10132</vt:lpwstr>
  </property>
</Properties>
</file>