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土地出让金/城乡环卫一体化项目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二</w:t>
      </w:r>
      <w:r>
        <w:rPr>
          <w:rFonts w:hint="eastAsia" w:ascii="黑体" w:hAnsi="黑体" w:eastAsia="黑体" w:cs="黑体"/>
          <w:sz w:val="44"/>
          <w:szCs w:val="44"/>
        </w:rPr>
        <w:t>标段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我单位“土地出让金/城乡环卫一体化项目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标段2018年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26日</w:t>
      </w:r>
      <w:r>
        <w:rPr>
          <w:rFonts w:hint="eastAsia" w:ascii="仿宋" w:hAnsi="仿宋" w:eastAsia="仿宋" w:cs="仿宋"/>
          <w:sz w:val="32"/>
          <w:szCs w:val="32"/>
        </w:rPr>
        <w:t>-2019年11月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25日</w:t>
      </w:r>
      <w:r>
        <w:rPr>
          <w:rFonts w:hint="eastAsia" w:ascii="仿宋" w:hAnsi="仿宋" w:eastAsia="仿宋" w:cs="仿宋"/>
          <w:sz w:val="32"/>
          <w:szCs w:val="32"/>
        </w:rPr>
        <w:t>费用项目”2019年度年初县财政安排项目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800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隆尧县城乡环卫一体化项目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标段2018年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26日</w:t>
      </w:r>
      <w:r>
        <w:rPr>
          <w:rFonts w:hint="eastAsia" w:ascii="仿宋" w:hAnsi="仿宋" w:eastAsia="仿宋" w:cs="仿宋"/>
          <w:sz w:val="32"/>
          <w:szCs w:val="32"/>
        </w:rPr>
        <w:t>-2019年11月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25日</w:t>
      </w:r>
      <w:r>
        <w:rPr>
          <w:rFonts w:hint="eastAsia" w:ascii="仿宋" w:hAnsi="仿宋" w:eastAsia="仿宋" w:cs="仿宋"/>
          <w:sz w:val="32"/>
          <w:szCs w:val="32"/>
        </w:rPr>
        <w:t>费用项目是为进一步完善城市管理长效机制，加强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精细化管理水平，创新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管理体制模式，保证城乡清洁卫生，遏制生活垃圾任意堆放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隆尧县城乡环卫一体化项目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标段资金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8000000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包括：大张庄乡、莲子镇镇、牛家桥乡、千户营乡，覆盖87个村，人口109115人。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垃圾清运全面覆盖，生活垃圾日产日清，乡村环境长效保洁，实现城乡环卫一体化处置。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大张庄乡、牛家桥乡、莲子镇镇、千户营乡各村主要街道及食品城一级、二级、三级道路清扫保洁、收集清运工作。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700.17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700.17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99.83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该项目综合得分为91分，评价结果为优。按照文件要求对绩效评价结果进行了公开，得到社会各界的认可，使专项资金得到全社会的监督。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E455994"/>
    <w:rsid w:val="326977D2"/>
    <w:rsid w:val="3A4F64C1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2020-06-29T02:50:29Z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