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pacing w:before="0" w:beforeAutospacing="0" w:after="0" w:afterAutospacing="0"/>
        <w:ind w:left="0" w:right="0"/>
        <w:jc w:val="center"/>
        <w:rPr>
          <w:rFonts w:hint="eastAsia" w:ascii="仿宋" w:hAnsi="仿宋" w:eastAsia="仿宋" w:cs="仿宋"/>
          <w:sz w:val="44"/>
          <w:szCs w:val="44"/>
        </w:rPr>
      </w:pPr>
      <w:r>
        <w:rPr>
          <w:rFonts w:hint="eastAsia" w:ascii="仿宋" w:hAnsi="仿宋" w:eastAsia="仿宋" w:cs="仿宋"/>
          <w:kern w:val="0"/>
          <w:sz w:val="44"/>
          <w:szCs w:val="44"/>
          <w:lang w:val="en-US" w:eastAsia="zh-CN" w:bidi="ar"/>
        </w:rPr>
        <w:t>2019年度部门整体支出绩效自评报告</w:t>
      </w:r>
    </w:p>
    <w:p>
      <w:pPr>
        <w:pStyle w:val="7"/>
        <w:keepNext w:val="0"/>
        <w:keepLines w:val="0"/>
        <w:pageBreakBefore w:val="0"/>
        <w:widowControl/>
        <w:suppressLineNumbers w:val="0"/>
        <w:kinsoku/>
        <w:wordWrap/>
        <w:overflowPunct/>
        <w:topLinePunct w:val="0"/>
        <w:autoSpaceDE/>
        <w:autoSpaceDN/>
        <w:bidi w:val="0"/>
        <w:adjustRightInd/>
        <w:snapToGrid/>
        <w:spacing w:before="450" w:beforeAutospacing="0" w:after="0" w:afterAutospacing="0" w:line="33"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为确实做好201</w:t>
      </w:r>
      <w:r>
        <w:rPr>
          <w:rFonts w:hint="eastAsia" w:ascii="仿宋" w:hAnsi="仿宋" w:eastAsia="仿宋" w:cs="仿宋"/>
          <w:sz w:val="32"/>
          <w:szCs w:val="32"/>
          <w:lang w:val="en-US" w:eastAsia="zh-CN"/>
        </w:rPr>
        <w:t>9</w:t>
      </w:r>
      <w:r>
        <w:rPr>
          <w:rFonts w:hint="eastAsia" w:ascii="仿宋" w:hAnsi="仿宋" w:eastAsia="仿宋" w:cs="仿宋"/>
          <w:sz w:val="32"/>
          <w:szCs w:val="32"/>
        </w:rPr>
        <w:t>年度部门整体支出绩效自评工作，提高财政资金使用效益，根据《</w:t>
      </w:r>
      <w:r>
        <w:rPr>
          <w:rFonts w:hint="eastAsia" w:ascii="仿宋" w:hAnsi="仿宋" w:eastAsia="仿宋" w:cs="仿宋"/>
          <w:sz w:val="32"/>
          <w:szCs w:val="32"/>
          <w:lang w:eastAsia="zh-CN"/>
        </w:rPr>
        <w:t>隆尧县财政局关于开展</w:t>
      </w:r>
      <w:r>
        <w:rPr>
          <w:rFonts w:hint="eastAsia" w:ascii="仿宋" w:hAnsi="仿宋" w:eastAsia="仿宋" w:cs="仿宋"/>
          <w:sz w:val="32"/>
          <w:szCs w:val="32"/>
          <w:lang w:val="en-US" w:eastAsia="zh-CN"/>
        </w:rPr>
        <w:t>2019年度财政支出预算绩效运行跟踪监控</w:t>
      </w:r>
      <w:r>
        <w:rPr>
          <w:rFonts w:hint="eastAsia" w:ascii="仿宋" w:hAnsi="仿宋" w:eastAsia="仿宋" w:cs="仿宋"/>
          <w:sz w:val="32"/>
          <w:szCs w:val="32"/>
        </w:rPr>
        <w:t>工作的通知》（</w:t>
      </w:r>
      <w:r>
        <w:rPr>
          <w:rFonts w:hint="eastAsia" w:ascii="仿宋" w:hAnsi="仿宋" w:eastAsia="仿宋" w:cs="仿宋"/>
          <w:sz w:val="32"/>
          <w:szCs w:val="32"/>
          <w:lang w:eastAsia="zh-CN"/>
        </w:rPr>
        <w:t>隆财库</w:t>
      </w:r>
      <w:r>
        <w:rPr>
          <w:rFonts w:hint="eastAsia" w:ascii="仿宋" w:hAnsi="仿宋" w:eastAsia="仿宋" w:cs="仿宋"/>
          <w:sz w:val="32"/>
          <w:szCs w:val="32"/>
        </w:rPr>
        <w:t>〔20</w:t>
      </w:r>
      <w:r>
        <w:rPr>
          <w:rFonts w:hint="eastAsia" w:ascii="仿宋" w:hAnsi="仿宋" w:eastAsia="仿宋" w:cs="仿宋"/>
          <w:sz w:val="32"/>
          <w:szCs w:val="32"/>
          <w:lang w:val="en-US" w:eastAsia="zh-CN"/>
        </w:rPr>
        <w:t>19</w:t>
      </w:r>
      <w:r>
        <w:rPr>
          <w:rFonts w:hint="eastAsia" w:ascii="仿宋" w:hAnsi="仿宋" w:eastAsia="仿宋" w:cs="仿宋"/>
          <w:sz w:val="32"/>
          <w:szCs w:val="32"/>
        </w:rPr>
        <w:t>〕</w:t>
      </w:r>
      <w:r>
        <w:rPr>
          <w:rFonts w:hint="eastAsia" w:ascii="仿宋" w:hAnsi="仿宋" w:eastAsia="仿宋" w:cs="仿宋"/>
          <w:sz w:val="32"/>
          <w:szCs w:val="32"/>
          <w:lang w:val="en-US" w:eastAsia="zh-CN"/>
        </w:rPr>
        <w:t>27</w:t>
      </w:r>
      <w:r>
        <w:rPr>
          <w:rFonts w:hint="eastAsia" w:ascii="仿宋" w:hAnsi="仿宋" w:eastAsia="仿宋" w:cs="仿宋"/>
          <w:sz w:val="32"/>
          <w:szCs w:val="32"/>
        </w:rPr>
        <w:t>号）文件精神，结合实际，我单位组织成立了绩效评价工作小组</w:t>
      </w:r>
      <w:r>
        <w:rPr>
          <w:rFonts w:hint="eastAsia" w:ascii="仿宋" w:hAnsi="仿宋" w:eastAsia="仿宋" w:cs="仿宋"/>
          <w:sz w:val="32"/>
          <w:szCs w:val="32"/>
          <w:lang w:eastAsia="zh-CN"/>
        </w:rPr>
        <w:t>，</w:t>
      </w:r>
      <w:r>
        <w:rPr>
          <w:rFonts w:hint="eastAsia" w:ascii="仿宋" w:hAnsi="仿宋" w:eastAsia="仿宋" w:cs="仿宋"/>
          <w:sz w:val="32"/>
          <w:szCs w:val="32"/>
        </w:rPr>
        <w:t>根据各部门报送的绩效自评材料进行分析、总结，现将我单位整体支出绩效自评结果报告如下：</w:t>
      </w:r>
    </w:p>
    <w:p>
      <w:pPr>
        <w:keepNext w:val="0"/>
        <w:keepLines w:val="0"/>
        <w:pageBreakBefore w:val="0"/>
        <w:kinsoku/>
        <w:wordWrap/>
        <w:overflowPunct/>
        <w:topLinePunct w:val="0"/>
        <w:autoSpaceDE/>
        <w:autoSpaceDN/>
        <w:bidi w:val="0"/>
        <w:adjustRightInd/>
        <w:snapToGrid/>
        <w:spacing w:line="400" w:lineRule="exact"/>
        <w:ind w:left="0"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一、部门情况</w:t>
      </w:r>
    </w:p>
    <w:p>
      <w:pPr>
        <w:keepNext w:val="0"/>
        <w:keepLines w:val="0"/>
        <w:pageBreakBefore w:val="0"/>
        <w:kinsoku/>
        <w:wordWrap/>
        <w:overflowPunct/>
        <w:topLinePunct w:val="0"/>
        <w:autoSpaceDE/>
        <w:autoSpaceDN/>
        <w:bidi w:val="0"/>
        <w:adjustRightInd/>
        <w:snapToGrid/>
        <w:spacing w:line="400" w:lineRule="exact"/>
        <w:ind w:left="0"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rPr>
        <w:t>（一）基本情况。</w:t>
      </w:r>
    </w:p>
    <w:p>
      <w:pPr>
        <w:ind w:firstLine="643" w:firstLineChars="200"/>
        <w:rPr>
          <w:rFonts w:hint="eastAsia" w:ascii="仿宋" w:hAnsi="仿宋" w:eastAsia="仿宋" w:cs="仿宋_GB2312"/>
          <w:b/>
          <w:bCs/>
          <w:sz w:val="32"/>
          <w:szCs w:val="32"/>
        </w:rPr>
      </w:pPr>
      <w:r>
        <w:rPr>
          <w:rFonts w:hint="eastAsia" w:ascii="仿宋" w:hAnsi="仿宋" w:eastAsia="仿宋" w:cs="仿宋_GB2312"/>
          <w:b/>
          <w:bCs/>
          <w:sz w:val="32"/>
          <w:szCs w:val="32"/>
        </w:rPr>
        <w:t>部门职责：</w:t>
      </w:r>
    </w:p>
    <w:p>
      <w:pPr>
        <w:ind w:firstLine="630"/>
        <w:rPr>
          <w:rFonts w:hint="eastAsia" w:ascii="仿宋_GB2312" w:hAnsi="仿宋_GB2312" w:eastAsia="仿宋_GB2312" w:cs="仿宋_GB2312"/>
          <w:sz w:val="32"/>
          <w:szCs w:val="32"/>
        </w:rPr>
      </w:pPr>
      <w:r>
        <w:rPr>
          <w:rFonts w:hint="eastAsia" w:ascii="仿宋" w:hAnsi="仿宋" w:eastAsia="仿宋" w:cs="仿宋_GB2312"/>
          <w:sz w:val="32"/>
          <w:szCs w:val="32"/>
        </w:rPr>
        <w:t xml:space="preserve"> </w:t>
      </w:r>
      <w:r>
        <w:rPr>
          <w:rFonts w:hint="eastAsia" w:ascii="仿宋_GB2312" w:hAnsi="仿宋_GB2312" w:eastAsia="仿宋_GB2312" w:cs="仿宋_GB2312"/>
          <w:sz w:val="32"/>
          <w:szCs w:val="32"/>
        </w:rPr>
        <w:t>1、健全残疾人法律服务体系，切实保障残疾人合法权益；全面推进城乡无障碍环境建设；开展康复、扶贫、教育培训等活动，直接为残疾人服务</w:t>
      </w:r>
    </w:p>
    <w:p>
      <w:pPr>
        <w:keepNext w:val="0"/>
        <w:keepLines w:val="0"/>
        <w:pageBreakBefore w:val="0"/>
        <w:widowControl/>
        <w:kinsoku/>
        <w:wordWrap/>
        <w:overflowPunct/>
        <w:topLinePunct w:val="0"/>
        <w:autoSpaceDE/>
        <w:autoSpaceDN/>
        <w:bidi w:val="0"/>
        <w:adjustRightInd/>
        <w:snapToGrid/>
        <w:spacing w:line="240" w:lineRule="auto"/>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_GB2312" w:hAnsi="仿宋_GB2312" w:eastAsia="仿宋_GB2312" w:cs="仿宋_GB2312"/>
          <w:sz w:val="32"/>
          <w:szCs w:val="32"/>
        </w:rPr>
        <w:t>2、对持证残疾人需求情况进行调查，加强和规范残疾人基层组织建设，协调残疾人就业保障金的征收，加强残疾人工作建设。</w:t>
      </w:r>
      <w:r>
        <w:rPr>
          <w:rFonts w:hint="eastAsia" w:ascii="仿宋" w:hAnsi="仿宋" w:eastAsia="仿宋" w:cs="仿宋"/>
          <w:kern w:val="0"/>
          <w:sz w:val="32"/>
          <w:szCs w:val="32"/>
        </w:rPr>
        <w:t>。</w:t>
      </w:r>
    </w:p>
    <w:p>
      <w:pPr>
        <w:keepNext w:val="0"/>
        <w:keepLines w:val="0"/>
        <w:pageBreakBefore w:val="0"/>
        <w:widowControl/>
        <w:kinsoku/>
        <w:wordWrap/>
        <w:overflowPunct/>
        <w:topLinePunct w:val="0"/>
        <w:autoSpaceDE/>
        <w:autoSpaceDN/>
        <w:bidi w:val="0"/>
        <w:adjustRightInd/>
        <w:snapToGrid/>
        <w:spacing w:line="360" w:lineRule="auto"/>
        <w:ind w:left="0" w:firstLine="643" w:firstLineChars="200"/>
        <w:jc w:val="left"/>
        <w:textAlignment w:val="auto"/>
        <w:rPr>
          <w:rFonts w:hint="eastAsia" w:ascii="仿宋" w:hAnsi="仿宋" w:eastAsia="仿宋" w:cs="仿宋"/>
          <w:kern w:val="0"/>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机构情况</w:t>
      </w:r>
      <w:r>
        <w:rPr>
          <w:rFonts w:hint="eastAsia" w:ascii="仿宋" w:hAnsi="仿宋" w:eastAsia="仿宋" w:cs="仿宋"/>
          <w:sz w:val="32"/>
          <w:szCs w:val="32"/>
          <w:lang w:eastAsia="zh-CN"/>
        </w:rPr>
        <w:t>：隆尧</w:t>
      </w:r>
      <w:bookmarkStart w:id="0" w:name="_GoBack"/>
      <w:bookmarkEnd w:id="0"/>
      <w:r>
        <w:rPr>
          <w:rFonts w:hint="eastAsia" w:ascii="仿宋" w:hAnsi="仿宋" w:eastAsia="仿宋" w:cs="仿宋"/>
          <w:sz w:val="32"/>
          <w:szCs w:val="32"/>
          <w:lang w:eastAsia="zh-CN"/>
        </w:rPr>
        <w:t>县残疾人联合会</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属一级预算单位</w:t>
      </w:r>
      <w:r>
        <w:rPr>
          <w:rFonts w:hint="eastAsia" w:ascii="仿宋" w:hAnsi="仿宋" w:eastAsia="仿宋" w:cs="仿宋"/>
          <w:kern w:val="0"/>
          <w:sz w:val="32"/>
          <w:szCs w:val="32"/>
          <w:lang w:eastAsia="zh-CN"/>
        </w:rPr>
        <w:t>。下设二个部室，分别为</w:t>
      </w:r>
      <w:r>
        <w:rPr>
          <w:rFonts w:hint="eastAsia" w:ascii="仿宋" w:hAnsi="仿宋" w:eastAsia="仿宋" w:cs="仿宋"/>
          <w:kern w:val="0"/>
          <w:sz w:val="32"/>
          <w:szCs w:val="32"/>
        </w:rPr>
        <w:t>办公室、</w:t>
      </w:r>
      <w:r>
        <w:rPr>
          <w:rFonts w:hint="eastAsia" w:ascii="仿宋" w:hAnsi="仿宋" w:eastAsia="仿宋" w:cs="仿宋"/>
          <w:kern w:val="0"/>
          <w:sz w:val="32"/>
          <w:szCs w:val="32"/>
          <w:lang w:eastAsia="zh-CN"/>
        </w:rPr>
        <w:t>教育就业康复部；有在职在编人员</w:t>
      </w:r>
      <w:r>
        <w:rPr>
          <w:rFonts w:hint="eastAsia" w:ascii="仿宋" w:hAnsi="仿宋" w:eastAsia="仿宋" w:cs="仿宋"/>
          <w:kern w:val="0"/>
          <w:sz w:val="32"/>
          <w:szCs w:val="32"/>
          <w:lang w:val="en-US" w:eastAsia="zh-CN"/>
        </w:rPr>
        <w:t>8人。</w:t>
      </w:r>
    </w:p>
    <w:p>
      <w:pPr>
        <w:keepNext w:val="0"/>
        <w:keepLines w:val="0"/>
        <w:pageBreakBefore w:val="0"/>
        <w:widowControl/>
        <w:kinsoku/>
        <w:wordWrap/>
        <w:overflowPunct/>
        <w:topLinePunct w:val="0"/>
        <w:autoSpaceDE/>
        <w:autoSpaceDN/>
        <w:bidi w:val="0"/>
        <w:adjustRightInd/>
        <w:snapToGrid/>
        <w:spacing w:line="360" w:lineRule="auto"/>
        <w:ind w:left="0"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rPr>
        <w:t>3</w:t>
      </w:r>
      <w:r>
        <w:rPr>
          <w:rFonts w:hint="eastAsia" w:ascii="仿宋" w:hAnsi="仿宋" w:eastAsia="仿宋" w:cs="仿宋"/>
          <w:b/>
          <w:bCs/>
          <w:sz w:val="32"/>
          <w:szCs w:val="32"/>
          <w:lang w:eastAsia="zh-CN"/>
        </w:rPr>
        <w:t>、</w:t>
      </w:r>
      <w:r>
        <w:rPr>
          <w:rFonts w:hint="eastAsia" w:ascii="仿宋" w:hAnsi="仿宋" w:eastAsia="仿宋" w:cs="仿宋"/>
          <w:b/>
          <w:bCs/>
          <w:sz w:val="32"/>
          <w:szCs w:val="32"/>
        </w:rPr>
        <w:t>人员情况</w:t>
      </w:r>
      <w:r>
        <w:rPr>
          <w:rFonts w:hint="eastAsia" w:ascii="仿宋" w:hAnsi="仿宋" w:eastAsia="仿宋" w:cs="仿宋"/>
          <w:b/>
          <w:bCs/>
          <w:sz w:val="32"/>
          <w:szCs w:val="32"/>
          <w:lang w:eastAsia="zh-CN"/>
        </w:rPr>
        <w:t>：</w:t>
      </w:r>
      <w:r>
        <w:rPr>
          <w:rFonts w:hint="eastAsia" w:ascii="仿宋" w:hAnsi="仿宋" w:eastAsia="仿宋" w:cs="仿宋"/>
          <w:sz w:val="32"/>
          <w:szCs w:val="32"/>
          <w:lang w:eastAsia="zh-CN"/>
        </w:rPr>
        <w:t>单位现有人数</w:t>
      </w:r>
      <w:r>
        <w:rPr>
          <w:rFonts w:hint="eastAsia" w:ascii="仿宋" w:hAnsi="仿宋" w:eastAsia="仿宋" w:cs="仿宋"/>
          <w:sz w:val="32"/>
          <w:szCs w:val="32"/>
          <w:lang w:val="en-US" w:eastAsia="zh-CN"/>
        </w:rPr>
        <w:t>8人，同上年一样多。</w:t>
      </w:r>
    </w:p>
    <w:p>
      <w:pPr>
        <w:keepNext w:val="0"/>
        <w:keepLines w:val="0"/>
        <w:pageBreakBefore w:val="0"/>
        <w:widowControl/>
        <w:kinsoku/>
        <w:wordWrap/>
        <w:overflowPunct/>
        <w:topLinePunct w:val="0"/>
        <w:autoSpaceDE/>
        <w:autoSpaceDN/>
        <w:bidi w:val="0"/>
        <w:adjustRightInd/>
        <w:snapToGrid/>
        <w:spacing w:line="360" w:lineRule="auto"/>
        <w:ind w:left="0" w:firstLine="643"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4、部门总体目标：</w:t>
      </w:r>
      <w:r>
        <w:rPr>
          <w:rFonts w:hint="eastAsia" w:ascii="仿宋" w:hAnsi="仿宋" w:eastAsia="仿宋" w:cs="仿宋"/>
          <w:sz w:val="32"/>
          <w:szCs w:val="32"/>
          <w:lang w:val="en-US" w:eastAsia="zh-CN"/>
        </w:rPr>
        <w:t xml:space="preserve">切实提高残联综合事务管理水平，保障单位的正常运行，发挥好残联的各项职能，做好残疾人的“娘家人” ， 维护残疾人的和谐稳定。    </w:t>
      </w:r>
    </w:p>
    <w:p>
      <w:pPr>
        <w:keepNext w:val="0"/>
        <w:keepLines w:val="0"/>
        <w:pageBreakBefore w:val="0"/>
        <w:widowControl/>
        <w:kinsoku/>
        <w:wordWrap/>
        <w:overflowPunct/>
        <w:topLinePunct w:val="0"/>
        <w:autoSpaceDE/>
        <w:autoSpaceDN/>
        <w:bidi w:val="0"/>
        <w:adjustRightInd/>
        <w:snapToGrid/>
        <w:spacing w:line="360" w:lineRule="auto"/>
        <w:ind w:left="0" w:lef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w:t>
      </w:r>
      <w:r>
        <w:rPr>
          <w:rFonts w:hint="eastAsia" w:ascii="仿宋" w:hAnsi="仿宋" w:eastAsia="仿宋" w:cs="仿宋"/>
          <w:b/>
          <w:bCs/>
          <w:sz w:val="32"/>
          <w:szCs w:val="32"/>
          <w:lang w:val="en-US" w:eastAsia="zh-CN"/>
        </w:rPr>
        <w:t>年度整体绩效目标</w:t>
      </w:r>
      <w:r>
        <w:rPr>
          <w:rFonts w:hint="eastAsia" w:ascii="仿宋" w:hAnsi="仿宋" w:eastAsia="仿宋" w:cs="仿宋"/>
          <w:sz w:val="32"/>
          <w:szCs w:val="32"/>
          <w:lang w:val="en-US" w:eastAsia="zh-CN"/>
        </w:rPr>
        <w:t>：结合本单位实际情况，按月发放职工工资和社会保障费，支付正常运转及业务费用；开展职工活动；完成上级残联下达的任务，做好残联自身的改革和建设，充分发挥残联的职能，保障单位的正常运转。协助县委、县政府做好帮扶工作；努力为广大残联人办实事、解难题，对在档管理的困难残疾人开展帮扶救助，维护残疾人服务队伍的和谐稳定。</w:t>
      </w:r>
    </w:p>
    <w:p>
      <w:pPr>
        <w:keepNext w:val="0"/>
        <w:keepLines w:val="0"/>
        <w:pageBreakBefore w:val="0"/>
        <w:widowControl w:val="0"/>
        <w:kinsoku/>
        <w:wordWrap/>
        <w:overflowPunct/>
        <w:topLinePunct w:val="0"/>
        <w:autoSpaceDE/>
        <w:autoSpaceDN/>
        <w:bidi w:val="0"/>
        <w:adjustRightInd/>
        <w:snapToGrid/>
        <w:spacing w:line="360" w:lineRule="auto"/>
        <w:ind w:left="0" w:firstLine="643" w:firstLineChars="200"/>
        <w:jc w:val="lef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6、预算资金安排及资金支出情况：</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我单位201</w:t>
      </w:r>
      <w:r>
        <w:rPr>
          <w:rFonts w:hint="eastAsia" w:ascii="仿宋" w:hAnsi="仿宋" w:eastAsia="仿宋" w:cs="仿宋"/>
          <w:sz w:val="32"/>
          <w:szCs w:val="32"/>
          <w:lang w:val="en-US" w:eastAsia="zh-CN"/>
        </w:rPr>
        <w:t>9</w:t>
      </w:r>
      <w:r>
        <w:rPr>
          <w:rFonts w:hint="eastAsia" w:ascii="仿宋" w:hAnsi="仿宋" w:eastAsia="仿宋" w:cs="仿宋"/>
          <w:sz w:val="32"/>
          <w:szCs w:val="32"/>
        </w:rPr>
        <w:t>年总支出为</w:t>
      </w:r>
      <w:r>
        <w:rPr>
          <w:rFonts w:hint="eastAsia" w:ascii="仿宋" w:hAnsi="仿宋" w:eastAsia="仿宋" w:cs="仿宋"/>
          <w:sz w:val="32"/>
          <w:szCs w:val="32"/>
          <w:lang w:val="en-US" w:eastAsia="zh-CN"/>
        </w:rPr>
        <w:t>205.15万</w:t>
      </w:r>
      <w:r>
        <w:rPr>
          <w:rFonts w:hint="eastAsia" w:ascii="仿宋" w:hAnsi="仿宋" w:eastAsia="仿宋" w:cs="仿宋"/>
          <w:sz w:val="32"/>
          <w:szCs w:val="32"/>
        </w:rPr>
        <w:t>元，其中基本支出</w:t>
      </w:r>
      <w:r>
        <w:rPr>
          <w:rFonts w:hint="eastAsia" w:ascii="仿宋" w:hAnsi="仿宋" w:eastAsia="仿宋" w:cs="仿宋"/>
          <w:sz w:val="32"/>
          <w:szCs w:val="32"/>
          <w:lang w:val="en-US" w:eastAsia="zh-CN"/>
        </w:rPr>
        <w:t>76.36</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128.79</w:t>
      </w:r>
      <w:r>
        <w:rPr>
          <w:rFonts w:hint="eastAsia" w:ascii="仿宋" w:hAnsi="仿宋" w:eastAsia="仿宋" w:cs="仿宋"/>
          <w:sz w:val="32"/>
          <w:szCs w:val="32"/>
        </w:rPr>
        <w:t>万元。</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rPr>
        <w:t>基本支出</w:t>
      </w:r>
      <w:r>
        <w:rPr>
          <w:rFonts w:hint="eastAsia" w:ascii="仿宋" w:hAnsi="仿宋" w:eastAsia="仿宋" w:cs="仿宋"/>
          <w:sz w:val="32"/>
          <w:szCs w:val="32"/>
          <w:lang w:val="en-US" w:eastAsia="zh-CN"/>
        </w:rPr>
        <w:t>76.36</w:t>
      </w:r>
      <w:r>
        <w:rPr>
          <w:rFonts w:hint="eastAsia" w:ascii="仿宋" w:hAnsi="仿宋" w:eastAsia="仿宋" w:cs="仿宋"/>
          <w:sz w:val="32"/>
          <w:szCs w:val="32"/>
        </w:rPr>
        <w:t>万元，其中：工资福利支出</w:t>
      </w:r>
      <w:r>
        <w:rPr>
          <w:rFonts w:hint="eastAsia" w:ascii="仿宋" w:hAnsi="仿宋" w:eastAsia="仿宋" w:cs="仿宋"/>
          <w:sz w:val="32"/>
          <w:szCs w:val="32"/>
          <w:lang w:val="en-US" w:eastAsia="zh-CN"/>
        </w:rPr>
        <w:t>67.76</w:t>
      </w:r>
      <w:r>
        <w:rPr>
          <w:rFonts w:hint="eastAsia" w:ascii="仿宋" w:hAnsi="仿宋" w:eastAsia="仿宋" w:cs="仿宋"/>
          <w:sz w:val="32"/>
          <w:szCs w:val="32"/>
        </w:rPr>
        <w:t>万元、商品和服务支出</w:t>
      </w:r>
      <w:r>
        <w:rPr>
          <w:rFonts w:hint="eastAsia" w:ascii="仿宋" w:hAnsi="仿宋" w:eastAsia="仿宋" w:cs="仿宋"/>
          <w:sz w:val="32"/>
          <w:szCs w:val="32"/>
          <w:lang w:val="en-US" w:eastAsia="zh-CN"/>
        </w:rPr>
        <w:t>7.26</w:t>
      </w:r>
      <w:r>
        <w:rPr>
          <w:rFonts w:hint="eastAsia" w:ascii="仿宋" w:hAnsi="仿宋" w:eastAsia="仿宋" w:cs="仿宋"/>
          <w:sz w:val="32"/>
          <w:szCs w:val="32"/>
        </w:rPr>
        <w:t>万元、对个人和家庭的补助</w:t>
      </w:r>
      <w:r>
        <w:rPr>
          <w:rFonts w:hint="eastAsia" w:ascii="仿宋" w:hAnsi="仿宋" w:eastAsia="仿宋" w:cs="仿宋"/>
          <w:sz w:val="32"/>
          <w:szCs w:val="32"/>
          <w:lang w:val="en-US" w:eastAsia="zh-CN"/>
        </w:rPr>
        <w:t>1.34</w:t>
      </w:r>
      <w:r>
        <w:rPr>
          <w:rFonts w:hint="eastAsia" w:ascii="仿宋" w:hAnsi="仿宋" w:eastAsia="仿宋" w:cs="仿宋"/>
          <w:sz w:val="32"/>
          <w:szCs w:val="32"/>
        </w:rPr>
        <w:t>万元、其他资本性支出0.00万元。</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rPr>
        <w:t>项目支出</w:t>
      </w:r>
      <w:r>
        <w:rPr>
          <w:rFonts w:hint="eastAsia" w:ascii="仿宋" w:hAnsi="仿宋" w:eastAsia="仿宋" w:cs="仿宋"/>
          <w:sz w:val="32"/>
          <w:szCs w:val="32"/>
          <w:lang w:val="en-US" w:eastAsia="zh-CN"/>
        </w:rPr>
        <w:t>128.79</w:t>
      </w:r>
      <w:r>
        <w:rPr>
          <w:rFonts w:hint="eastAsia" w:ascii="仿宋" w:hAnsi="仿宋" w:eastAsia="仿宋" w:cs="仿宋"/>
          <w:sz w:val="32"/>
          <w:szCs w:val="32"/>
        </w:rPr>
        <w:t>万元。</w:t>
      </w:r>
    </w:p>
    <w:p>
      <w:pPr>
        <w:keepNext w:val="0"/>
        <w:keepLines w:val="0"/>
        <w:pageBreakBefore w:val="0"/>
        <w:widowControl w:val="0"/>
        <w:kinsoku/>
        <w:wordWrap/>
        <w:overflowPunct/>
        <w:topLinePunct w:val="0"/>
        <w:autoSpaceDE/>
        <w:autoSpaceDN/>
        <w:bidi w:val="0"/>
        <w:adjustRightInd/>
        <w:snapToGrid/>
        <w:spacing w:line="360" w:lineRule="auto"/>
        <w:ind w:lef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rPr>
        <w:t>“三公”经费支出情况：公务用车维护费</w:t>
      </w:r>
      <w:r>
        <w:rPr>
          <w:rFonts w:hint="eastAsia" w:ascii="仿宋" w:hAnsi="仿宋" w:eastAsia="仿宋" w:cs="仿宋"/>
          <w:sz w:val="32"/>
          <w:szCs w:val="32"/>
          <w:lang w:val="en-US" w:eastAsia="zh-CN"/>
        </w:rPr>
        <w:t>1.5万</w:t>
      </w:r>
      <w:r>
        <w:rPr>
          <w:rFonts w:hint="eastAsia" w:ascii="仿宋" w:hAnsi="仿宋" w:eastAsia="仿宋" w:cs="仿宋"/>
          <w:sz w:val="32"/>
          <w:szCs w:val="32"/>
        </w:rPr>
        <w:t>元，</w:t>
      </w:r>
      <w:r>
        <w:rPr>
          <w:rFonts w:hint="eastAsia" w:ascii="仿宋" w:hAnsi="仿宋" w:eastAsia="仿宋" w:cs="仿宋"/>
          <w:sz w:val="32"/>
          <w:szCs w:val="32"/>
          <w:lang w:eastAsia="zh-CN"/>
        </w:rPr>
        <w:t>与上年一致</w:t>
      </w:r>
      <w:r>
        <w:rPr>
          <w:rFonts w:hint="eastAsia" w:ascii="仿宋" w:hAnsi="仿宋" w:eastAsia="仿宋" w:cs="仿宋"/>
          <w:sz w:val="32"/>
          <w:szCs w:val="32"/>
        </w:rPr>
        <w:t>。</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600" w:lineRule="atLeast"/>
        <w:ind w:left="0" w:right="0" w:firstLine="583" w:firstLineChars="200"/>
        <w:jc w:val="left"/>
        <w:textAlignment w:val="auto"/>
        <w:rPr>
          <w:rFonts w:hint="eastAsia" w:ascii="仿宋" w:hAnsi="仿宋" w:eastAsia="仿宋" w:cs="仿宋"/>
          <w:sz w:val="32"/>
          <w:szCs w:val="32"/>
        </w:rPr>
      </w:pPr>
      <w:r>
        <w:rPr>
          <w:rStyle w:val="9"/>
          <w:rFonts w:hint="eastAsia" w:ascii="仿宋" w:hAnsi="仿宋" w:eastAsia="仿宋" w:cs="仿宋"/>
          <w:b/>
          <w:spacing w:val="-15"/>
          <w:sz w:val="32"/>
          <w:szCs w:val="32"/>
          <w:shd w:val="clear" w:fill="FFFFFF"/>
          <w:lang w:eastAsia="zh-CN"/>
        </w:rPr>
        <w:t>二、</w:t>
      </w:r>
      <w:r>
        <w:rPr>
          <w:rStyle w:val="9"/>
          <w:rFonts w:hint="eastAsia" w:ascii="仿宋" w:hAnsi="仿宋" w:eastAsia="仿宋" w:cs="仿宋"/>
          <w:b/>
          <w:spacing w:val="-15"/>
          <w:sz w:val="32"/>
          <w:szCs w:val="32"/>
          <w:shd w:val="clear" w:fill="FFFFFF"/>
        </w:rPr>
        <w:t>部门整体支出绩效情况</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根据本单位年初工作规划和重点工作，围绕</w:t>
      </w:r>
      <w:r>
        <w:rPr>
          <w:rFonts w:hint="eastAsia" w:ascii="仿宋" w:hAnsi="仿宋" w:eastAsia="仿宋" w:cs="仿宋"/>
          <w:sz w:val="32"/>
          <w:szCs w:val="32"/>
          <w:lang w:eastAsia="zh-CN"/>
        </w:rPr>
        <w:t>县</w:t>
      </w:r>
      <w:r>
        <w:rPr>
          <w:rFonts w:hint="eastAsia" w:ascii="仿宋" w:hAnsi="仿宋" w:eastAsia="仿宋" w:cs="仿宋"/>
          <w:sz w:val="32"/>
          <w:szCs w:val="32"/>
        </w:rPr>
        <w:t>委、</w:t>
      </w:r>
      <w:r>
        <w:rPr>
          <w:rFonts w:hint="eastAsia" w:ascii="仿宋" w:hAnsi="仿宋" w:eastAsia="仿宋" w:cs="仿宋"/>
          <w:sz w:val="32"/>
          <w:szCs w:val="32"/>
          <w:lang w:eastAsia="zh-CN"/>
        </w:rPr>
        <w:t>县</w:t>
      </w:r>
      <w:r>
        <w:rPr>
          <w:rFonts w:hint="eastAsia" w:ascii="仿宋" w:hAnsi="仿宋" w:eastAsia="仿宋" w:cs="仿宋"/>
          <w:sz w:val="32"/>
          <w:szCs w:val="32"/>
        </w:rPr>
        <w:t>政府以及</w:t>
      </w:r>
      <w:r>
        <w:rPr>
          <w:rFonts w:hint="eastAsia" w:ascii="仿宋" w:hAnsi="仿宋" w:eastAsia="仿宋" w:cs="仿宋"/>
          <w:sz w:val="32"/>
          <w:szCs w:val="32"/>
          <w:lang w:eastAsia="zh-CN"/>
        </w:rPr>
        <w:t>市残联</w:t>
      </w:r>
      <w:r>
        <w:rPr>
          <w:rFonts w:hint="eastAsia" w:ascii="仿宋" w:hAnsi="仿宋" w:eastAsia="仿宋" w:cs="仿宋"/>
          <w:sz w:val="32"/>
          <w:szCs w:val="32"/>
        </w:rPr>
        <w:t>的工作部署，积极履行职责，强化管理，较好地完成了年度工作目标，同时加强预算收支的管理，建立健全内部管理制度，严格内部管理流程，单位整体支出管理得到了提升</w:t>
      </w:r>
      <w:r>
        <w:rPr>
          <w:rFonts w:hint="eastAsia" w:ascii="仿宋" w:hAnsi="仿宋" w:eastAsia="仿宋" w:cs="仿宋"/>
          <w:sz w:val="32"/>
          <w:szCs w:val="32"/>
          <w:lang w:eastAsia="zh-CN"/>
        </w:rPr>
        <w:t>。</w:t>
      </w:r>
      <w:r>
        <w:rPr>
          <w:rFonts w:hint="eastAsia" w:ascii="仿宋" w:hAnsi="仿宋" w:eastAsia="仿宋" w:cs="仿宋"/>
          <w:sz w:val="32"/>
          <w:szCs w:val="32"/>
          <w:shd w:val="clear" w:fill="FFFFFF"/>
        </w:rPr>
        <w:t>通过对201</w:t>
      </w:r>
      <w:r>
        <w:rPr>
          <w:rFonts w:hint="eastAsia" w:ascii="仿宋" w:hAnsi="仿宋" w:eastAsia="仿宋" w:cs="仿宋"/>
          <w:sz w:val="32"/>
          <w:szCs w:val="32"/>
          <w:shd w:val="clear" w:fill="FFFFFF"/>
          <w:lang w:val="en-US" w:eastAsia="zh-CN"/>
        </w:rPr>
        <w:t>9</w:t>
      </w:r>
      <w:r>
        <w:rPr>
          <w:rFonts w:hint="eastAsia" w:ascii="仿宋" w:hAnsi="仿宋" w:eastAsia="仿宋" w:cs="仿宋"/>
          <w:sz w:val="32"/>
          <w:szCs w:val="32"/>
          <w:shd w:val="clear" w:fill="FFFFFF"/>
        </w:rPr>
        <w:t>年部门整体支出绩效自评的结果分析如下：</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1</w:t>
      </w:r>
      <w:r>
        <w:rPr>
          <w:rFonts w:hint="eastAsia" w:ascii="仿宋" w:hAnsi="仿宋" w:eastAsia="仿宋" w:cs="仿宋"/>
          <w:sz w:val="32"/>
          <w:szCs w:val="32"/>
          <w:shd w:val="clear" w:fill="FFFFFF"/>
        </w:rPr>
        <w:t>、管理制度健全性：本单位根据&lt;中华人民共和国会计法&gt;、&lt;会计基础工作规范&gt;</w:t>
      </w:r>
      <w:r>
        <w:rPr>
          <w:rFonts w:hint="eastAsia" w:ascii="仿宋" w:hAnsi="仿宋" w:eastAsia="仿宋" w:cs="仿宋"/>
          <w:sz w:val="32"/>
          <w:szCs w:val="32"/>
          <w:shd w:val="clear" w:fill="FFFFFF"/>
          <w:lang w:eastAsia="zh-CN"/>
        </w:rPr>
        <w:t>及</w:t>
      </w:r>
      <w:r>
        <w:rPr>
          <w:rFonts w:hint="eastAsia" w:ascii="仿宋" w:hAnsi="仿宋" w:eastAsia="仿宋" w:cs="仿宋"/>
          <w:sz w:val="32"/>
          <w:szCs w:val="32"/>
          <w:shd w:val="clear" w:fill="FFFFFF"/>
        </w:rPr>
        <w:t>《</w:t>
      </w:r>
      <w:r>
        <w:rPr>
          <w:rFonts w:hint="eastAsia" w:ascii="仿宋" w:hAnsi="仿宋" w:eastAsia="仿宋" w:cs="仿宋"/>
          <w:sz w:val="32"/>
          <w:szCs w:val="32"/>
          <w:shd w:val="clear" w:fill="FFFFFF"/>
          <w:lang w:eastAsia="zh-CN"/>
        </w:rPr>
        <w:t>工会会计制度</w:t>
      </w:r>
      <w:r>
        <w:rPr>
          <w:rFonts w:hint="eastAsia" w:ascii="仿宋" w:hAnsi="仿宋" w:eastAsia="仿宋" w:cs="仿宋"/>
          <w:sz w:val="32"/>
          <w:szCs w:val="32"/>
          <w:shd w:val="clear" w:fill="FFFFFF"/>
        </w:rPr>
        <w:t>》结合本单位的实际情况制定了相关的财务管理制度。</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shd w:val="clear" w:fill="FFFFFF"/>
          <w:lang w:val="en-US" w:eastAsia="zh-CN"/>
        </w:rPr>
        <w:t>2</w:t>
      </w:r>
      <w:r>
        <w:rPr>
          <w:rFonts w:hint="eastAsia" w:ascii="仿宋" w:hAnsi="仿宋" w:eastAsia="仿宋" w:cs="仿宋"/>
          <w:sz w:val="32"/>
          <w:szCs w:val="32"/>
          <w:shd w:val="clear" w:fill="FFFFFF"/>
        </w:rPr>
        <w:t>、资金使用合规性：本单位在资金使用上一直按照国家财经法规和本单位财务管理制度规定以及有关资金管理办法的规定收支，资金拨付有完整的审批程序和手续</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单位财务</w:t>
      </w:r>
      <w:r>
        <w:rPr>
          <w:rFonts w:hint="eastAsia" w:ascii="仿宋" w:hAnsi="仿宋" w:eastAsia="仿宋" w:cs="仿宋"/>
          <w:sz w:val="32"/>
          <w:szCs w:val="32"/>
          <w:shd w:val="clear" w:fill="FFFFFF"/>
          <w:lang w:eastAsia="zh-CN"/>
        </w:rPr>
        <w:t>部长</w:t>
      </w:r>
      <w:r>
        <w:rPr>
          <w:rFonts w:hint="eastAsia" w:ascii="仿宋" w:hAnsi="仿宋" w:eastAsia="仿宋" w:cs="仿宋"/>
          <w:sz w:val="32"/>
          <w:szCs w:val="32"/>
          <w:shd w:val="clear" w:fill="FFFFFF"/>
        </w:rPr>
        <w:t>和分管财务领导对资金的使用进行全程监督</w:t>
      </w:r>
      <w:r>
        <w:rPr>
          <w:rFonts w:hint="eastAsia" w:ascii="仿宋" w:hAnsi="仿宋" w:eastAsia="仿宋" w:cs="仿宋"/>
          <w:color w:val="555555"/>
          <w:sz w:val="32"/>
          <w:szCs w:val="32"/>
          <w:shd w:val="clear" w:fill="FFFFFF"/>
        </w:rPr>
        <w:t>，</w:t>
      </w:r>
      <w:r>
        <w:rPr>
          <w:rFonts w:hint="eastAsia" w:ascii="仿宋" w:hAnsi="仿宋" w:eastAsia="仿宋" w:cs="仿宋"/>
          <w:sz w:val="32"/>
          <w:szCs w:val="32"/>
          <w:shd w:val="clear" w:fill="FFFFFF"/>
        </w:rPr>
        <w:t>按照财经制度的有关要求，保证资金使用的合规性。</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shd w:val="clear" w:fill="FFFFFF"/>
        </w:rPr>
      </w:pPr>
      <w:r>
        <w:rPr>
          <w:rFonts w:hint="eastAsia" w:ascii="仿宋" w:hAnsi="仿宋" w:eastAsia="仿宋" w:cs="仿宋"/>
          <w:sz w:val="32"/>
          <w:szCs w:val="32"/>
          <w:shd w:val="clear" w:fill="FFFFFF"/>
          <w:lang w:val="en-US" w:eastAsia="zh-CN"/>
        </w:rPr>
        <w:t>3</w:t>
      </w:r>
      <w:r>
        <w:rPr>
          <w:rFonts w:hint="eastAsia" w:ascii="仿宋" w:hAnsi="仿宋" w:eastAsia="仿宋" w:cs="仿宋"/>
          <w:sz w:val="32"/>
          <w:szCs w:val="32"/>
          <w:shd w:val="clear" w:fill="FFFFFF"/>
        </w:rPr>
        <w:t>.预决算信息公开性：本单位201</w:t>
      </w:r>
      <w:r>
        <w:rPr>
          <w:rFonts w:hint="eastAsia" w:ascii="仿宋" w:hAnsi="仿宋" w:eastAsia="仿宋" w:cs="仿宋"/>
          <w:sz w:val="32"/>
          <w:szCs w:val="32"/>
          <w:shd w:val="clear" w:fill="FFFFFF"/>
          <w:lang w:val="en-US" w:eastAsia="zh-CN"/>
        </w:rPr>
        <w:t>9</w:t>
      </w:r>
      <w:r>
        <w:rPr>
          <w:rFonts w:hint="eastAsia" w:ascii="仿宋" w:hAnsi="仿宋" w:eastAsia="仿宋" w:cs="仿宋"/>
          <w:sz w:val="32"/>
          <w:szCs w:val="32"/>
          <w:shd w:val="clear" w:fill="FFFFFF"/>
        </w:rPr>
        <w:t>年度的预决算数据已经按照</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财政局的相关要求及时报送</w:t>
      </w:r>
      <w:r>
        <w:rPr>
          <w:rFonts w:hint="eastAsia" w:ascii="仿宋" w:hAnsi="仿宋" w:eastAsia="仿宋" w:cs="仿宋"/>
          <w:sz w:val="32"/>
          <w:szCs w:val="32"/>
          <w:shd w:val="clear" w:fill="FFFFFF"/>
          <w:lang w:eastAsia="zh-CN"/>
        </w:rPr>
        <w:t>县</w:t>
      </w:r>
      <w:r>
        <w:rPr>
          <w:rFonts w:hint="eastAsia" w:ascii="仿宋" w:hAnsi="仿宋" w:eastAsia="仿宋" w:cs="仿宋"/>
          <w:sz w:val="32"/>
          <w:szCs w:val="32"/>
          <w:shd w:val="clear" w:fill="FFFFFF"/>
        </w:rPr>
        <w:t>财政局有关部门，并在单位全体人员会议上公开。</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三、</w:t>
      </w:r>
      <w:r>
        <w:rPr>
          <w:rFonts w:hint="eastAsia" w:ascii="仿宋" w:hAnsi="仿宋" w:eastAsia="仿宋" w:cs="仿宋"/>
          <w:b/>
          <w:bCs/>
          <w:sz w:val="32"/>
          <w:szCs w:val="32"/>
        </w:rPr>
        <w:t>绩效评价的组织实施情况</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绩效评价工作由残联理事长王江华同志任组长，王朝明、焦然为成员。</w:t>
      </w:r>
    </w:p>
    <w:p>
      <w:pPr>
        <w:keepNext w:val="0"/>
        <w:keepLines w:val="0"/>
        <w:pageBreakBefore w:val="0"/>
        <w:kinsoku/>
        <w:wordWrap/>
        <w:overflowPunct/>
        <w:topLinePunct w:val="0"/>
        <w:autoSpaceDE/>
        <w:autoSpaceDN/>
        <w:bidi w:val="0"/>
        <w:adjustRightInd/>
        <w:snapToGrid/>
        <w:spacing w:line="480" w:lineRule="exact"/>
        <w:ind w:left="0" w:firstLine="640" w:firstLineChars="200"/>
        <w:jc w:val="left"/>
        <w:textAlignment w:val="auto"/>
        <w:rPr>
          <w:rFonts w:hint="eastAsia" w:ascii="仿宋" w:hAnsi="仿宋" w:eastAsia="仿宋" w:cs="仿宋"/>
          <w:b w:val="0"/>
          <w:bCs w:val="0"/>
          <w:sz w:val="32"/>
          <w:szCs w:val="32"/>
        </w:rPr>
      </w:pPr>
      <w:r>
        <w:rPr>
          <w:rFonts w:hint="eastAsia" w:ascii="仿宋" w:hAnsi="仿宋" w:eastAsia="仿宋" w:cs="仿宋"/>
          <w:sz w:val="32"/>
          <w:szCs w:val="32"/>
          <w:lang w:eastAsia="zh-CN"/>
        </w:rPr>
        <w:t>评价结果：根</w:t>
      </w:r>
      <w:r>
        <w:rPr>
          <w:rFonts w:hint="eastAsia" w:ascii="仿宋" w:hAnsi="仿宋" w:eastAsia="仿宋" w:cs="仿宋"/>
          <w:b w:val="0"/>
          <w:bCs w:val="0"/>
          <w:sz w:val="32"/>
          <w:szCs w:val="32"/>
          <w:lang w:eastAsia="zh-CN"/>
        </w:rPr>
        <w:t>据《</w:t>
      </w:r>
      <w:r>
        <w:rPr>
          <w:rFonts w:hint="eastAsia" w:ascii="仿宋" w:hAnsi="仿宋" w:eastAsia="仿宋" w:cs="仿宋"/>
          <w:b w:val="0"/>
          <w:bCs w:val="0"/>
          <w:sz w:val="32"/>
          <w:szCs w:val="32"/>
        </w:rPr>
        <w:t>部门整体支出绩效评价</w:t>
      </w:r>
      <w:r>
        <w:rPr>
          <w:rFonts w:hint="eastAsia" w:ascii="仿宋" w:hAnsi="仿宋" w:eastAsia="仿宋" w:cs="仿宋"/>
          <w:b w:val="0"/>
          <w:bCs w:val="0"/>
          <w:color w:val="000000"/>
          <w:kern w:val="0"/>
          <w:sz w:val="32"/>
          <w:szCs w:val="32"/>
          <w:shd w:val="clear" w:color="auto" w:fill="FFFFFF"/>
        </w:rPr>
        <w:t>指标体系评分表</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》得分，评分</w:t>
      </w:r>
      <w:r>
        <w:rPr>
          <w:rFonts w:hint="eastAsia" w:ascii="仿宋" w:hAnsi="仿宋" w:eastAsia="仿宋" w:cs="仿宋"/>
          <w:b w:val="0"/>
          <w:bCs w:val="0"/>
          <w:sz w:val="32"/>
          <w:szCs w:val="32"/>
          <w:lang w:val="en-US" w:eastAsia="zh-CN"/>
        </w:rPr>
        <w:t>93分，绩效评价等级为：优</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shd w:val="clear" w:fill="FFFFFF"/>
          <w:lang w:eastAsia="zh-CN"/>
        </w:rPr>
        <w:t>四、</w:t>
      </w:r>
      <w:r>
        <w:rPr>
          <w:rFonts w:hint="eastAsia" w:ascii="仿宋" w:hAnsi="仿宋" w:eastAsia="仿宋" w:cs="仿宋"/>
          <w:b/>
          <w:bCs/>
          <w:sz w:val="32"/>
          <w:szCs w:val="32"/>
        </w:rPr>
        <w:t>存在问题、采取的纠偏措施及改进绩效管理建议</w:t>
      </w:r>
    </w:p>
    <w:p>
      <w:pPr>
        <w:pStyle w:val="7"/>
        <w:keepNext w:val="0"/>
        <w:keepLines w:val="0"/>
        <w:pageBreakBefore w:val="0"/>
        <w:widowControl/>
        <w:suppressLineNumbers w:val="0"/>
        <w:kinsoku/>
        <w:wordWrap/>
        <w:overflowPunct/>
        <w:topLinePunct w:val="0"/>
        <w:autoSpaceDE/>
        <w:autoSpaceDN/>
        <w:bidi w:val="0"/>
        <w:adjustRightInd/>
        <w:snapToGrid/>
        <w:spacing w:before="210" w:beforeAutospacing="0" w:after="210" w:afterAutospacing="0" w:line="600" w:lineRule="atLeast"/>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（一）存在问题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预算编制有待更严格执行。预算编制与实际支出项目有的仍存在细微差异。</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00" w:firstLineChars="200"/>
        <w:jc w:val="left"/>
        <w:textAlignment w:val="auto"/>
        <w:rPr>
          <w:rFonts w:hint="eastAsia" w:ascii="仿宋" w:hAnsi="仿宋" w:eastAsia="仿宋" w:cs="仿宋"/>
          <w:sz w:val="32"/>
          <w:szCs w:val="32"/>
        </w:rPr>
      </w:pPr>
      <w:r>
        <w:rPr>
          <w:rFonts w:hint="eastAsia" w:ascii="仿宋_GB2312" w:hAnsi="瀹嬩綋" w:eastAsia="仿宋_GB2312" w:cs="仿宋_GB2312"/>
          <w:sz w:val="30"/>
          <w:szCs w:val="30"/>
          <w:lang w:val="en-US" w:eastAsia="zh-CN"/>
        </w:rPr>
        <w:t>2、</w:t>
      </w:r>
      <w:r>
        <w:rPr>
          <w:rFonts w:ascii="仿宋_GB2312" w:hAnsi="瀹嬩綋" w:eastAsia="仿宋_GB2312" w:cs="仿宋_GB2312"/>
          <w:sz w:val="30"/>
          <w:szCs w:val="30"/>
        </w:rPr>
        <w:t>固定资产管理有待加强。部分固定资产折损。未及时进行清理。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3" w:firstLineChars="200"/>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、改进措施和有关建议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按照预算规定的项目和用途严格财务审核，经费支出严格按预算规定项目的财务支出内容进行财务核算，在预算金额内严格控制费用的支出。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预算财务分析常态化，定期做好预算支出财务分析，做好单位整体支出预算评价工作。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uto"/>
        <w:ind w:left="0" w:right="0" w:firstLine="640" w:firstLineChars="200"/>
        <w:jc w:val="lef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制度适用本局的固定资产管理制度，从资产采购、使用以及报废各环节规范固定资产的管理，提高固定资产使用效率，减少资金浪费。</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leftChars="0" w:right="0" w:rightChars="0" w:firstLine="643" w:firstLineChars="200"/>
        <w:jc w:val="left"/>
        <w:textAlignment w:val="auto"/>
        <w:rPr>
          <w:rStyle w:val="9"/>
          <w:rFonts w:hint="eastAsia" w:ascii="仿宋" w:hAnsi="仿宋" w:eastAsia="仿宋" w:cs="仿宋"/>
          <w:i w:val="0"/>
          <w:caps w:val="0"/>
          <w:color w:val="000000"/>
          <w:spacing w:val="0"/>
          <w:kern w:val="0"/>
          <w:sz w:val="32"/>
          <w:szCs w:val="32"/>
          <w:shd w:val="clear" w:fill="FFFFFF"/>
          <w:lang w:val="en-US" w:eastAsia="zh-CN" w:bidi="ar"/>
        </w:rPr>
      </w:pPr>
      <w:r>
        <w:rPr>
          <w:rStyle w:val="9"/>
          <w:rFonts w:hint="eastAsia" w:ascii="仿宋" w:hAnsi="仿宋" w:eastAsia="仿宋" w:cs="仿宋"/>
          <w:i w:val="0"/>
          <w:caps w:val="0"/>
          <w:color w:val="000000"/>
          <w:spacing w:val="0"/>
          <w:kern w:val="0"/>
          <w:sz w:val="32"/>
          <w:szCs w:val="32"/>
          <w:shd w:val="clear" w:fill="FFFFFF"/>
          <w:lang w:val="en-US" w:eastAsia="zh-CN" w:bidi="ar"/>
        </w:rPr>
        <w:t>六、其他需要说明的情况</w:t>
      </w:r>
    </w:p>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leftChars="0" w:right="0" w:rightChars="0" w:firstLine="560" w:firstLineChars="200"/>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无</w:t>
      </w: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widowControl/>
        <w:spacing w:line="480" w:lineRule="exact"/>
        <w:jc w:val="left"/>
        <w:rPr>
          <w:rFonts w:hint="eastAsia" w:ascii="仿宋" w:hAnsi="仿宋" w:eastAsia="仿宋" w:cs="仿宋"/>
          <w:kern w:val="0"/>
          <w:sz w:val="32"/>
          <w:szCs w:val="32"/>
          <w:shd w:val="clear" w:color="auto" w:fill="FFFFFF"/>
        </w:rPr>
      </w:pPr>
    </w:p>
    <w:p>
      <w:pPr>
        <w:numPr>
          <w:ilvl w:val="0"/>
          <w:numId w:val="0"/>
        </w:numPr>
        <w:rPr>
          <w:rFonts w:ascii="仿宋" w:hAnsi="仿宋" w:eastAsia="仿宋" w:cs="仿宋"/>
          <w:sz w:val="32"/>
          <w:szCs w:val="32"/>
        </w:rPr>
      </w:pPr>
    </w:p>
    <w:sectPr>
      <w:footerReference r:id="rId3"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瀹嬩綋">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42933"/>
    <w:rsid w:val="00002F2C"/>
    <w:rsid w:val="000070A8"/>
    <w:rsid w:val="00007D94"/>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028F4"/>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B1E1F"/>
    <w:rsid w:val="00AD5F30"/>
    <w:rsid w:val="00B0681D"/>
    <w:rsid w:val="00B9023F"/>
    <w:rsid w:val="00BC1FDC"/>
    <w:rsid w:val="00BD0FD8"/>
    <w:rsid w:val="00C44804"/>
    <w:rsid w:val="00C6362A"/>
    <w:rsid w:val="00C81363"/>
    <w:rsid w:val="00CB27A5"/>
    <w:rsid w:val="00CD55ED"/>
    <w:rsid w:val="00CD63C0"/>
    <w:rsid w:val="00CE62A0"/>
    <w:rsid w:val="00D03B85"/>
    <w:rsid w:val="00D21F0C"/>
    <w:rsid w:val="00D366C1"/>
    <w:rsid w:val="00D37E35"/>
    <w:rsid w:val="00D877F7"/>
    <w:rsid w:val="00DB2D43"/>
    <w:rsid w:val="00E266F1"/>
    <w:rsid w:val="00EB16A8"/>
    <w:rsid w:val="00EC7904"/>
    <w:rsid w:val="00F72E93"/>
    <w:rsid w:val="00F87A11"/>
    <w:rsid w:val="00FB53A2"/>
    <w:rsid w:val="00FB7E01"/>
    <w:rsid w:val="00FE5F4C"/>
    <w:rsid w:val="00FF39F6"/>
    <w:rsid w:val="05374814"/>
    <w:rsid w:val="0C756C2F"/>
    <w:rsid w:val="0F8F6BFC"/>
    <w:rsid w:val="1626579C"/>
    <w:rsid w:val="2E532A27"/>
    <w:rsid w:val="3059259F"/>
    <w:rsid w:val="3791647A"/>
    <w:rsid w:val="3D102CAC"/>
    <w:rsid w:val="43CC1495"/>
    <w:rsid w:val="455969D8"/>
    <w:rsid w:val="456C5A0E"/>
    <w:rsid w:val="487926DA"/>
    <w:rsid w:val="4E8200A9"/>
    <w:rsid w:val="51B049CE"/>
    <w:rsid w:val="526A3656"/>
    <w:rsid w:val="5D643D56"/>
    <w:rsid w:val="65D35C9B"/>
    <w:rsid w:val="69BD0A47"/>
    <w:rsid w:val="6C4020AE"/>
    <w:rsid w:val="71A911C9"/>
    <w:rsid w:val="78321746"/>
    <w:rsid w:val="7CCC213E"/>
    <w:rsid w:val="7DC175C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uiPriority="99" w:name="HTML Keyboard"/>
    <w:lsdException w:uiPriority="99" w:name="HTML Preformatted"/>
    <w:lsdException w:uiPriority="99" w:name="HTML Sample"/>
    <w:lsdException w:uiPriority="99" w:name="HTML Typewriter"/>
    <w:lsdException w:qFormat="1"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3"/>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8">
    <w:name w:val="Default Paragraph Font"/>
    <w:semiHidden/>
    <w:unhideWhenUsed/>
    <w:qFormat/>
    <w:uiPriority w:val="1"/>
  </w:style>
  <w:style w:type="table" w:default="1" w:styleId="19">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22"/>
    <w:qFormat/>
    <w:uiPriority w:val="0"/>
    <w:rPr>
      <w:rFonts w:ascii="宋体" w:hAnsi="Courier New" w:eastAsia="宋体" w:cs="Courier New"/>
      <w:szCs w:val="21"/>
    </w:rPr>
  </w:style>
  <w:style w:type="paragraph" w:styleId="5">
    <w:name w:val="footer"/>
    <w:basedOn w:val="1"/>
    <w:link w:val="21"/>
    <w:unhideWhenUsed/>
    <w:qFormat/>
    <w:uiPriority w:val="99"/>
    <w:pPr>
      <w:tabs>
        <w:tab w:val="center" w:pos="4153"/>
        <w:tab w:val="right" w:pos="8306"/>
      </w:tabs>
      <w:snapToGrid w:val="0"/>
      <w:jc w:val="left"/>
    </w:pPr>
    <w:rPr>
      <w:sz w:val="18"/>
      <w:szCs w:val="18"/>
    </w:rPr>
  </w:style>
  <w:style w:type="paragraph" w:styleId="6">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page number"/>
    <w:basedOn w:val="8"/>
    <w:semiHidden/>
    <w:unhideWhenUsed/>
    <w:qFormat/>
    <w:uiPriority w:val="99"/>
  </w:style>
  <w:style w:type="character" w:styleId="11">
    <w:name w:val="FollowedHyperlink"/>
    <w:basedOn w:val="8"/>
    <w:semiHidden/>
    <w:unhideWhenUsed/>
    <w:qFormat/>
    <w:uiPriority w:val="99"/>
    <w:rPr>
      <w:color w:val="333333"/>
      <w:u w:val="none"/>
    </w:rPr>
  </w:style>
  <w:style w:type="character" w:styleId="12">
    <w:name w:val="Emphasis"/>
    <w:basedOn w:val="8"/>
    <w:qFormat/>
    <w:uiPriority w:val="20"/>
    <w:rPr>
      <w:rFonts w:hint="eastAsia" w:ascii="微软雅黑" w:hAnsi="微软雅黑" w:eastAsia="微软雅黑" w:cs="微软雅黑"/>
    </w:rPr>
  </w:style>
  <w:style w:type="character" w:styleId="13">
    <w:name w:val="HTML Definition"/>
    <w:basedOn w:val="8"/>
    <w:semiHidden/>
    <w:unhideWhenUsed/>
    <w:qFormat/>
    <w:uiPriority w:val="99"/>
  </w:style>
  <w:style w:type="character" w:styleId="14">
    <w:name w:val="HTML Acronym"/>
    <w:basedOn w:val="8"/>
    <w:semiHidden/>
    <w:unhideWhenUsed/>
    <w:qFormat/>
    <w:uiPriority w:val="99"/>
  </w:style>
  <w:style w:type="character" w:styleId="15">
    <w:name w:val="HTML Variable"/>
    <w:basedOn w:val="8"/>
    <w:semiHidden/>
    <w:unhideWhenUsed/>
    <w:qFormat/>
    <w:uiPriority w:val="99"/>
  </w:style>
  <w:style w:type="character" w:styleId="16">
    <w:name w:val="Hyperlink"/>
    <w:basedOn w:val="8"/>
    <w:semiHidden/>
    <w:unhideWhenUsed/>
    <w:qFormat/>
    <w:uiPriority w:val="99"/>
    <w:rPr>
      <w:color w:val="333333"/>
      <w:u w:val="none"/>
    </w:rPr>
  </w:style>
  <w:style w:type="character" w:styleId="17">
    <w:name w:val="HTML Code"/>
    <w:basedOn w:val="8"/>
    <w:semiHidden/>
    <w:unhideWhenUsed/>
    <w:qFormat/>
    <w:uiPriority w:val="99"/>
    <w:rPr>
      <w:rFonts w:ascii="微软雅黑" w:hAnsi="微软雅黑" w:eastAsia="微软雅黑" w:cs="微软雅黑"/>
      <w:sz w:val="18"/>
      <w:szCs w:val="18"/>
    </w:rPr>
  </w:style>
  <w:style w:type="character" w:styleId="18">
    <w:name w:val="HTML Cite"/>
    <w:basedOn w:val="8"/>
    <w:semiHidden/>
    <w:unhideWhenUsed/>
    <w:qFormat/>
    <w:uiPriority w:val="99"/>
  </w:style>
  <w:style w:type="character" w:customStyle="1" w:styleId="20">
    <w:name w:val="页眉 Char"/>
    <w:basedOn w:val="8"/>
    <w:link w:val="6"/>
    <w:qFormat/>
    <w:uiPriority w:val="99"/>
    <w:rPr>
      <w:sz w:val="18"/>
      <w:szCs w:val="18"/>
    </w:rPr>
  </w:style>
  <w:style w:type="character" w:customStyle="1" w:styleId="21">
    <w:name w:val="页脚 Char"/>
    <w:basedOn w:val="8"/>
    <w:link w:val="5"/>
    <w:qFormat/>
    <w:uiPriority w:val="99"/>
    <w:rPr>
      <w:sz w:val="18"/>
      <w:szCs w:val="18"/>
    </w:rPr>
  </w:style>
  <w:style w:type="character" w:customStyle="1" w:styleId="22">
    <w:name w:val="纯文本 Char"/>
    <w:basedOn w:val="8"/>
    <w:link w:val="4"/>
    <w:qFormat/>
    <w:uiPriority w:val="0"/>
    <w:rPr>
      <w:rFonts w:ascii="宋体" w:hAnsi="Courier New" w:eastAsia="宋体" w:cs="Courier New"/>
      <w:szCs w:val="21"/>
    </w:rPr>
  </w:style>
  <w:style w:type="character" w:customStyle="1" w:styleId="23">
    <w:name w:val="标题 1 Char"/>
    <w:basedOn w:val="8"/>
    <w:link w:val="2"/>
    <w:qFormat/>
    <w:uiPriority w:val="9"/>
    <w:rPr>
      <w:rFonts w:ascii="宋体" w:hAnsi="宋体" w:eastAsia="宋体" w:cs="宋体"/>
      <w:b/>
      <w:kern w:val="44"/>
      <w:sz w:val="48"/>
      <w:szCs w:val="48"/>
    </w:rPr>
  </w:style>
  <w:style w:type="character" w:customStyle="1" w:styleId="24">
    <w:name w:val="font31"/>
    <w:basedOn w:val="8"/>
    <w:qFormat/>
    <w:uiPriority w:val="0"/>
    <w:rPr>
      <w:rFonts w:hint="eastAsia" w:ascii="宋体" w:hAnsi="宋体" w:eastAsia="宋体" w:cs="宋体"/>
      <w:b/>
      <w:color w:val="000000"/>
      <w:sz w:val="36"/>
      <w:szCs w:val="36"/>
      <w:u w:val="none"/>
    </w:rPr>
  </w:style>
  <w:style w:type="character" w:customStyle="1" w:styleId="25">
    <w:name w:val="text"/>
    <w:basedOn w:val="8"/>
    <w:qFormat/>
    <w:uiPriority w:val="0"/>
    <w:rPr>
      <w:color w:val="666666"/>
    </w:rPr>
  </w:style>
  <w:style w:type="character" w:customStyle="1" w:styleId="26">
    <w:name w:val="wx-space"/>
    <w:basedOn w:val="8"/>
    <w:qFormat/>
    <w:uiPriority w:val="0"/>
  </w:style>
  <w:style w:type="character" w:customStyle="1" w:styleId="27">
    <w:name w:val="wx-space1"/>
    <w:basedOn w:val="8"/>
    <w:qFormat/>
    <w:uiPriority w:val="0"/>
  </w:style>
  <w:style w:type="character" w:customStyle="1" w:styleId="28">
    <w:name w:val="after"/>
    <w:basedOn w:val="8"/>
    <w:qFormat/>
    <w:uiPriority w:val="0"/>
    <w:rPr>
      <w:shd w:val="clear" w:fill="FFFFFF"/>
    </w:rPr>
  </w:style>
  <w:style w:type="character" w:customStyle="1" w:styleId="29">
    <w:name w:val="last"/>
    <w:basedOn w:val="8"/>
    <w:qFormat/>
    <w:uiPriority w:val="0"/>
  </w:style>
  <w:style w:type="character" w:customStyle="1" w:styleId="30">
    <w:name w:val="hover20"/>
    <w:basedOn w:val="8"/>
    <w:qFormat/>
    <w:uiPriority w:val="0"/>
    <w:rPr>
      <w:color w:val="000000"/>
      <w:shd w:val="clear" w:fill="FFFFFF"/>
    </w:rPr>
  </w:style>
  <w:style w:type="character" w:customStyle="1" w:styleId="31">
    <w:name w:val="sx"/>
    <w:basedOn w:val="8"/>
    <w:qFormat/>
    <w:uiPriority w:val="0"/>
  </w:style>
  <w:style w:type="character" w:customStyle="1" w:styleId="32">
    <w:name w:val="hover"/>
    <w:basedOn w:val="8"/>
    <w:qFormat/>
    <w:uiPriority w:val="0"/>
    <w:rPr>
      <w:color w:val="000000"/>
      <w:shd w:val="clear" w:fill="FFFFFF"/>
    </w:rPr>
  </w:style>
  <w:style w:type="character" w:customStyle="1" w:styleId="33">
    <w:name w:val="hover1"/>
    <w:basedOn w:val="8"/>
    <w:qFormat/>
    <w:uiPriority w:val="0"/>
    <w:rPr>
      <w:color w:val="000000"/>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833</Words>
  <Characters>4749</Characters>
  <Lines>39</Lines>
  <Paragraphs>11</Paragraphs>
  <TotalTime>43</TotalTime>
  <ScaleCrop>false</ScaleCrop>
  <LinksUpToDate>false</LinksUpToDate>
  <CharactersWithSpaces>5571</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2020-05-28T03:17:00Z</cp:lastPrinted>
  <dcterms:modified xsi:type="dcterms:W3CDTF">2020-10-09T05:43:31Z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