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仿宋_GB2312" w:hAnsi="仿宋_GB2312" w:eastAsia="仿宋_GB2312" w:cs="仿宋_GB2312"/>
          <w:b/>
          <w:color w:val="000000"/>
          <w:sz w:val="36"/>
          <w:szCs w:val="36"/>
          <w:lang w:val="en-US" w:eastAsia="zh-CN"/>
        </w:rPr>
      </w:pPr>
      <w:r>
        <w:rPr>
          <w:rFonts w:hint="eastAsia" w:ascii="仿宋_GB2312" w:hAnsi="仿宋_GB2312" w:eastAsia="仿宋_GB2312" w:cs="仿宋_GB2312"/>
          <w:b/>
          <w:color w:val="000000"/>
          <w:sz w:val="36"/>
          <w:szCs w:val="36"/>
          <w:lang w:val="en-US" w:eastAsia="zh-CN"/>
        </w:rPr>
        <w:t>中共隆尧县委机构编制委员会办公室</w:t>
      </w:r>
    </w:p>
    <w:p>
      <w:pPr>
        <w:spacing w:line="560" w:lineRule="exact"/>
        <w:jc w:val="center"/>
        <w:rPr>
          <w:rFonts w:hint="eastAsia" w:ascii="仿宋_GB2312" w:hAnsi="仿宋_GB2312" w:eastAsia="仿宋_GB2312" w:cs="仿宋_GB2312"/>
          <w:b/>
          <w:color w:val="000000"/>
          <w:sz w:val="36"/>
          <w:szCs w:val="36"/>
          <w:lang w:eastAsia="zh-CN"/>
        </w:rPr>
      </w:pPr>
      <w:r>
        <w:rPr>
          <w:rFonts w:hint="eastAsia" w:ascii="仿宋_GB2312" w:hAnsi="仿宋_GB2312" w:eastAsia="仿宋_GB2312" w:cs="仿宋_GB2312"/>
          <w:b/>
          <w:color w:val="000000"/>
          <w:sz w:val="36"/>
          <w:szCs w:val="36"/>
          <w:lang w:eastAsia="zh-CN"/>
        </w:rPr>
        <w:t>“机构编制管理经费”财政支出绩效自评报告</w:t>
      </w:r>
    </w:p>
    <w:p>
      <w:pPr>
        <w:spacing w:line="560" w:lineRule="exact"/>
        <w:jc w:val="center"/>
        <w:rPr>
          <w:rFonts w:hint="eastAsia" w:ascii="仿宋_GB2312" w:hAnsi="仿宋_GB2312" w:eastAsia="仿宋_GB2312" w:cs="仿宋_GB2312"/>
          <w:b/>
          <w:color w:val="000000"/>
          <w:sz w:val="36"/>
          <w:szCs w:val="36"/>
          <w:lang w:eastAsia="zh-CN"/>
        </w:rPr>
      </w:pPr>
    </w:p>
    <w:p>
      <w:pPr>
        <w:spacing w:line="560" w:lineRule="exact"/>
        <w:jc w:val="both"/>
        <w:rPr>
          <w:rFonts w:hint="eastAsia" w:ascii="仿宋_GB2312" w:hAnsi="仿宋_GB2312" w:eastAsia="仿宋_GB2312" w:cs="仿宋_GB2312"/>
          <w:b/>
          <w:color w:val="000000"/>
          <w:sz w:val="36"/>
          <w:szCs w:val="36"/>
          <w:lang w:eastAsia="zh-CN"/>
        </w:rPr>
      </w:pPr>
      <w:r>
        <w:rPr>
          <w:rFonts w:hint="eastAsia" w:ascii="仿宋_GB2312" w:hAnsi="仿宋_GB2312" w:eastAsia="仿宋_GB2312" w:cs="仿宋_GB2312"/>
          <w:b/>
          <w:color w:val="000000"/>
          <w:sz w:val="30"/>
          <w:szCs w:val="30"/>
          <w:lang w:eastAsia="zh-CN"/>
        </w:rPr>
        <w:t>隆尧县财政局：</w:t>
      </w:r>
    </w:p>
    <w:p>
      <w:pPr>
        <w:spacing w:line="560" w:lineRule="exact"/>
        <w:ind w:firstLine="600" w:firstLineChars="200"/>
        <w:rPr>
          <w:rFonts w:hint="eastAsia" w:ascii="仿宋" w:hAnsi="仿宋" w:eastAsia="仿宋"/>
          <w:color w:val="000000"/>
          <w:sz w:val="30"/>
          <w:szCs w:val="24"/>
        </w:rPr>
      </w:pPr>
      <w:r>
        <w:rPr>
          <w:rFonts w:hint="eastAsia" w:ascii="仿宋" w:hAnsi="仿宋" w:eastAsia="仿宋"/>
          <w:color w:val="000000"/>
          <w:sz w:val="30"/>
          <w:szCs w:val="24"/>
        </w:rPr>
        <w:t>为加强财政支出管理，强化支出责任，提高财政资金使用效益，依据《预算法》、《中共中央 国务院关于全面实施预算管理的意见》（中发〔2018〕34号）、《财政部关于印发&lt;财政支出绩效评级管理暂行办法&gt;的通知》（财预〔2011〕285号）、《河北省人民政府关于深化绩效预算管理改革的意见》（冀政〔2014〕76号）、《邢台市人民政府印发关于深化推进预算绩效管理意见的通知》（邢政〔2013〕13号）和《全面实施预算绩效管理推进工作方案》(隆财〔2019〕118号)等文件有关要求，</w:t>
      </w:r>
      <w:r>
        <w:rPr>
          <w:rFonts w:hint="eastAsia" w:ascii="仿宋" w:hAnsi="仿宋" w:eastAsia="仿宋"/>
          <w:color w:val="000000"/>
          <w:sz w:val="30"/>
          <w:szCs w:val="24"/>
          <w:lang w:eastAsia="zh-CN"/>
        </w:rPr>
        <w:t>县委编办对</w:t>
      </w:r>
      <w:r>
        <w:rPr>
          <w:rFonts w:hint="eastAsia" w:ascii="仿宋" w:hAnsi="仿宋" w:eastAsia="仿宋"/>
          <w:color w:val="000000"/>
          <w:sz w:val="30"/>
          <w:szCs w:val="24"/>
          <w:lang w:val="en-US" w:eastAsia="zh-CN"/>
        </w:rPr>
        <w:t>2019年机构编制管理经费项目</w:t>
      </w:r>
      <w:r>
        <w:rPr>
          <w:rFonts w:hint="eastAsia" w:ascii="仿宋" w:hAnsi="仿宋" w:eastAsia="仿宋"/>
          <w:color w:val="000000"/>
          <w:sz w:val="30"/>
          <w:szCs w:val="24"/>
        </w:rPr>
        <w:t>财政支出</w:t>
      </w:r>
      <w:r>
        <w:rPr>
          <w:rFonts w:hint="eastAsia" w:ascii="仿宋" w:hAnsi="仿宋" w:eastAsia="仿宋"/>
          <w:color w:val="000000"/>
          <w:sz w:val="30"/>
          <w:szCs w:val="24"/>
          <w:lang w:val="en-US" w:eastAsia="zh-CN"/>
        </w:rPr>
        <w:t>16.15</w:t>
      </w:r>
      <w:r>
        <w:rPr>
          <w:rFonts w:hint="eastAsia" w:ascii="仿宋" w:hAnsi="仿宋" w:eastAsia="仿宋"/>
          <w:color w:val="000000"/>
          <w:sz w:val="30"/>
          <w:szCs w:val="24"/>
        </w:rPr>
        <w:t>万元进行绩效评价。</w:t>
      </w:r>
    </w:p>
    <w:p>
      <w:pPr>
        <w:spacing w:line="560" w:lineRule="exact"/>
        <w:ind w:firstLine="600" w:firstLineChars="200"/>
        <w:rPr>
          <w:rFonts w:hint="eastAsia" w:ascii="仿宋" w:hAnsi="仿宋" w:eastAsia="仿宋"/>
          <w:color w:val="000000"/>
          <w:sz w:val="30"/>
          <w:szCs w:val="24"/>
        </w:rPr>
      </w:pPr>
      <w:r>
        <w:rPr>
          <w:rFonts w:hint="eastAsia" w:ascii="仿宋" w:hAnsi="仿宋" w:eastAsia="仿宋"/>
          <w:color w:val="000000"/>
          <w:sz w:val="30"/>
          <w:szCs w:val="24"/>
        </w:rPr>
        <w:t>本次绩效评价公允地反映了2019年</w:t>
      </w:r>
      <w:r>
        <w:rPr>
          <w:rFonts w:hint="eastAsia" w:ascii="仿宋" w:hAnsi="仿宋" w:eastAsia="仿宋"/>
          <w:color w:val="000000"/>
          <w:sz w:val="30"/>
          <w:szCs w:val="24"/>
          <w:lang w:eastAsia="zh-CN"/>
        </w:rPr>
        <w:t>机构改革专项经费项</w:t>
      </w:r>
      <w:r>
        <w:rPr>
          <w:rFonts w:hint="eastAsia" w:ascii="仿宋" w:hAnsi="仿宋" w:eastAsia="仿宋"/>
          <w:color w:val="000000"/>
          <w:sz w:val="30"/>
          <w:szCs w:val="24"/>
        </w:rPr>
        <w:t>目资金在投入、过程、产出及效益方面的情况，对项目实施中存在的问题提出改进意见，以期在今后的工作中进一步完善工作流程，提高项目绩效水平。现将绩效评价情况及结果报告如下：</w:t>
      </w:r>
    </w:p>
    <w:p>
      <w:pPr>
        <w:numPr>
          <w:ilvl w:val="0"/>
          <w:numId w:val="1"/>
        </w:numPr>
        <w:spacing w:line="560" w:lineRule="exact"/>
        <w:ind w:firstLine="602" w:firstLineChars="200"/>
        <w:outlineLvl w:val="0"/>
        <w:rPr>
          <w:rFonts w:hint="eastAsia" w:ascii="仿宋" w:hAnsi="仿宋" w:eastAsia="仿宋"/>
          <w:b/>
          <w:bCs/>
          <w:color w:val="000000"/>
          <w:sz w:val="30"/>
          <w:szCs w:val="24"/>
        </w:rPr>
      </w:pPr>
      <w:r>
        <w:rPr>
          <w:rFonts w:hint="eastAsia" w:ascii="仿宋" w:hAnsi="仿宋" w:eastAsia="仿宋"/>
          <w:b/>
          <w:bCs/>
          <w:color w:val="000000"/>
          <w:sz w:val="30"/>
          <w:szCs w:val="24"/>
        </w:rPr>
        <w:t>项目基本情况</w:t>
      </w:r>
    </w:p>
    <w:p>
      <w:pPr>
        <w:adjustRightInd w:val="0"/>
        <w:spacing w:line="580" w:lineRule="exact"/>
        <w:ind w:firstLine="640"/>
        <w:rPr>
          <w:rFonts w:hint="eastAsia" w:ascii="仿宋" w:hAnsi="仿宋" w:eastAsia="仿宋"/>
          <w:color w:val="000000"/>
          <w:sz w:val="30"/>
          <w:szCs w:val="24"/>
          <w:lang w:eastAsia="zh-CN"/>
        </w:rPr>
      </w:pPr>
      <w:r>
        <w:rPr>
          <w:rFonts w:hint="eastAsia" w:ascii="仿宋" w:hAnsi="仿宋" w:eastAsia="仿宋"/>
          <w:color w:val="000000"/>
          <w:sz w:val="30"/>
          <w:szCs w:val="24"/>
          <w:lang w:eastAsia="zh-CN"/>
        </w:rPr>
        <w:t>中共隆尧县委机构编制委员会办公室</w:t>
      </w:r>
      <w:r>
        <w:rPr>
          <w:rFonts w:hint="eastAsia" w:ascii="仿宋" w:hAnsi="仿宋" w:eastAsia="仿宋"/>
          <w:color w:val="000000"/>
          <w:sz w:val="30"/>
          <w:szCs w:val="24"/>
        </w:rPr>
        <w:t>为</w:t>
      </w:r>
      <w:r>
        <w:rPr>
          <w:rFonts w:hint="eastAsia" w:ascii="仿宋" w:hAnsi="仿宋" w:eastAsia="仿宋"/>
          <w:color w:val="000000"/>
          <w:sz w:val="30"/>
          <w:szCs w:val="24"/>
          <w:lang w:eastAsia="zh-CN"/>
        </w:rPr>
        <w:t>县委</w:t>
      </w:r>
      <w:r>
        <w:rPr>
          <w:rFonts w:hint="eastAsia" w:ascii="仿宋" w:hAnsi="仿宋" w:eastAsia="仿宋"/>
          <w:color w:val="000000"/>
          <w:sz w:val="30"/>
          <w:szCs w:val="24"/>
        </w:rPr>
        <w:t>工作部门，机构规格正科级，位于隆尧县</w:t>
      </w:r>
      <w:r>
        <w:rPr>
          <w:rFonts w:hint="eastAsia" w:ascii="仿宋" w:hAnsi="仿宋" w:eastAsia="仿宋"/>
          <w:color w:val="000000"/>
          <w:sz w:val="30"/>
          <w:szCs w:val="24"/>
          <w:lang w:eastAsia="zh-CN"/>
        </w:rPr>
        <w:t>新华路</w:t>
      </w:r>
      <w:r>
        <w:rPr>
          <w:rFonts w:hint="eastAsia" w:ascii="仿宋" w:hAnsi="仿宋" w:eastAsia="仿宋"/>
          <w:color w:val="000000"/>
          <w:sz w:val="30"/>
          <w:szCs w:val="24"/>
          <w:lang w:val="en-US" w:eastAsia="zh-CN"/>
        </w:rPr>
        <w:t>80号</w:t>
      </w:r>
      <w:r>
        <w:rPr>
          <w:rFonts w:hint="eastAsia" w:ascii="仿宋" w:hAnsi="仿宋" w:eastAsia="仿宋"/>
          <w:color w:val="000000"/>
          <w:sz w:val="30"/>
          <w:szCs w:val="24"/>
        </w:rPr>
        <w:t>，主要职责</w:t>
      </w:r>
      <w:r>
        <w:rPr>
          <w:rFonts w:hint="eastAsia" w:ascii="仿宋" w:hAnsi="仿宋" w:eastAsia="仿宋"/>
          <w:color w:val="000000"/>
          <w:sz w:val="30"/>
          <w:szCs w:val="24"/>
          <w:lang w:eastAsia="zh-CN"/>
        </w:rPr>
        <w:t>：</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rPr>
        <w:t>（一）贯彻落实党中央和省委、市委、县委关于行政管理体制和机构改革以及机构编制管理的政策法规，组织拟订相关政策措施并监督实施。管理和指导全县党政机关、人民团体机关以及全县事业单位的机构编制工作。</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rPr>
        <w:t>（二）组织拟订全县行政管理体制改革和县委、县政府机构改革方案并组织实施。指导、协调乡镇行政管理体制和机构改革以及机构编制管理工作；负责行政执法体制改革工作。</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rPr>
        <w:t>（三）协调县委、县政府各部门的职能配置及其调整。协调</w:t>
      </w:r>
      <w:r>
        <w:rPr>
          <w:rFonts w:hint="eastAsia" w:ascii="仿宋" w:hAnsi="仿宋" w:eastAsia="仿宋"/>
          <w:spacing w:val="-6"/>
          <w:sz w:val="32"/>
          <w:szCs w:val="32"/>
        </w:rPr>
        <w:t>县委、县政府各部门之间以及县直部门与各乡镇之间的职责分工</w:t>
      </w:r>
      <w:r>
        <w:rPr>
          <w:rFonts w:hint="eastAsia" w:ascii="仿宋" w:hAnsi="仿宋" w:eastAsia="仿宋"/>
          <w:sz w:val="32"/>
          <w:szCs w:val="32"/>
        </w:rPr>
        <w:t>。</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rPr>
        <w:t>（四）审核或审批县委、县政府各部门及各部门派出机构的职能配置、机构设置、人员编制和领导职数；审核县人大、县政协、县监委和县级各民主党派、人民团体机关的职能配置、机构设置、人员编制和领导职数；审核或审批乡镇党委、政府机构设置和调整事宜。负责需要承办的上级垂直管理部门或双重管理部门(单位)机构编制有关事宜。</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rPr>
        <w:t>（五）组织拟订全县事业单位管理体制和机构改革方案。落实各类事业单位人员编制标准，组织拟订全县各类事业单位机构编制管理办法，负责推进事业单位机构编制标准体系建设；审核或审批县委、县政府直属事业单位和县直部门所属事业单位的机构编制事宜；审核、报批县委、县政府直属事业单位或直属事业机构，以及县直部门所属事业单位的机构编制事宜。指导并协调乡镇事业单位管理体制改革和机构编制管理工作。负责全县党政群机关统一社会信用代码赋码管理工作，负责全县事业单位法人登记的监督检查工作。</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rPr>
        <w:t>（六）负责全县开发区（园区）行政管理体制改革工作，组织拟订开发区（园区）机构编制管理办法并组织实施，审核开发区（园区）职能配置、机构设置、人员编制和领导职数。</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rPr>
        <w:t>（七）负责对全县机构编制的总量控制和动态管理。会同有关部门负责机构编制实名制工作；负责全县机关事业单位编制使</w:t>
      </w:r>
      <w:r>
        <w:rPr>
          <w:rFonts w:hint="eastAsia" w:ascii="仿宋" w:hAnsi="仿宋" w:eastAsia="仿宋"/>
          <w:spacing w:val="-6"/>
          <w:sz w:val="32"/>
          <w:szCs w:val="32"/>
        </w:rPr>
        <w:t>用核准；建立健全机构编制部门与有关部门间的协调配合约束机制。</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rPr>
        <w:t>（八）负责对全县行政、事业单位管理体制和机构改革及机构编制执行情况的跟踪评估和监督检查。负责受理违反机构编制法规、纪律的检举、控告和投诉，对违反机构编制法规、纪律问题进行调查处理。</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rPr>
        <w:t>（九）负责全县机构编制电子政务和信息化工作。负责全县机构编制统计工作；负责机构编制网站的建设管理以及网络安全工作；负责全县党政群机关、事业单位和其他非营利性单位网上名称管理工作；指导全县各部门电子政务建设和信息化建设工作。</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rPr>
        <w:t>（十）组织开展行政体制改革及机构编制管理创新基础性和前瞻性研究。</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rPr>
        <w:t>（十一）完成县委和县委机构编制委员会交办的其他任务。</w:t>
      </w:r>
    </w:p>
    <w:p>
      <w:pPr>
        <w:spacing w:line="560" w:lineRule="exact"/>
        <w:ind w:firstLine="600" w:firstLineChars="200"/>
        <w:rPr>
          <w:rFonts w:hint="eastAsia" w:ascii="仿宋" w:hAnsi="仿宋" w:eastAsia="仿宋"/>
          <w:color w:val="000000"/>
          <w:sz w:val="30"/>
          <w:szCs w:val="24"/>
          <w:lang w:val="en-US" w:eastAsia="zh-CN"/>
        </w:rPr>
      </w:pPr>
      <w:r>
        <w:rPr>
          <w:rFonts w:hint="eastAsia" w:ascii="仿宋" w:hAnsi="仿宋" w:eastAsia="仿宋"/>
          <w:color w:val="000000"/>
          <w:sz w:val="30"/>
          <w:szCs w:val="24"/>
        </w:rPr>
        <w:t>内设机构：</w:t>
      </w:r>
      <w:r>
        <w:rPr>
          <w:rFonts w:hint="eastAsia" w:ascii="仿宋" w:hAnsi="仿宋" w:eastAsia="仿宋"/>
          <w:color w:val="000000"/>
          <w:sz w:val="30"/>
          <w:szCs w:val="24"/>
          <w:lang w:eastAsia="zh-CN"/>
        </w:rPr>
        <w:t>综合股、机构编制股</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580" w:lineRule="exact"/>
        <w:ind w:firstLine="640"/>
        <w:rPr>
          <w:rFonts w:hint="default" w:ascii="仿宋" w:hAnsi="仿宋" w:eastAsia="仿宋"/>
          <w:b/>
          <w:bCs/>
          <w:color w:val="000000"/>
          <w:sz w:val="30"/>
          <w:szCs w:val="24"/>
          <w:lang w:val="en-US" w:eastAsia="zh-CN"/>
        </w:rPr>
      </w:pPr>
      <w:r>
        <w:rPr>
          <w:rFonts w:hint="eastAsia" w:ascii="仿宋_GB2312" w:hAnsi="仿宋_GB2312" w:eastAsia="仿宋_GB2312" w:cs="仿宋_GB2312"/>
          <w:kern w:val="0"/>
          <w:sz w:val="32"/>
          <w:szCs w:val="32"/>
          <w:lang w:eastAsia="zh-CN"/>
        </w:rPr>
        <w:t>机构编制管理经费项目为</w:t>
      </w:r>
      <w:r>
        <w:rPr>
          <w:rFonts w:hint="eastAsia" w:ascii="仿宋_GB2312" w:hAnsi="仿宋_GB2312" w:eastAsia="仿宋_GB2312" w:cs="仿宋_GB2312"/>
          <w:kern w:val="0"/>
          <w:sz w:val="32"/>
          <w:szCs w:val="32"/>
        </w:rPr>
        <w:t>保证</w:t>
      </w:r>
      <w:r>
        <w:rPr>
          <w:rFonts w:hint="eastAsia" w:ascii="仿宋_GB2312" w:hAnsi="仿宋_GB2312" w:eastAsia="仿宋_GB2312" w:cs="仿宋_GB2312"/>
          <w:kern w:val="0"/>
          <w:sz w:val="32"/>
          <w:szCs w:val="32"/>
          <w:lang w:eastAsia="zh-CN"/>
        </w:rPr>
        <w:t>机构改革</w:t>
      </w:r>
      <w:r>
        <w:rPr>
          <w:rFonts w:hint="eastAsia" w:ascii="仿宋_GB2312" w:hAnsi="仿宋_GB2312" w:eastAsia="仿宋_GB2312" w:cs="仿宋_GB2312"/>
          <w:kern w:val="0"/>
          <w:sz w:val="32"/>
          <w:szCs w:val="32"/>
        </w:rPr>
        <w:t>工作的日常行政性支出，提高</w:t>
      </w:r>
      <w:r>
        <w:rPr>
          <w:rFonts w:hint="eastAsia" w:ascii="仿宋_GB2312" w:hAnsi="仿宋_GB2312" w:eastAsia="仿宋_GB2312" w:cs="仿宋_GB2312"/>
          <w:kern w:val="0"/>
          <w:sz w:val="32"/>
          <w:szCs w:val="32"/>
          <w:lang w:eastAsia="zh-CN"/>
        </w:rPr>
        <w:t>机构改革</w:t>
      </w:r>
      <w:r>
        <w:rPr>
          <w:rFonts w:hint="eastAsia" w:ascii="仿宋_GB2312" w:hAnsi="仿宋_GB2312" w:eastAsia="仿宋_GB2312" w:cs="仿宋_GB2312"/>
          <w:kern w:val="0"/>
          <w:sz w:val="32"/>
          <w:szCs w:val="32"/>
        </w:rPr>
        <w:t>事项办理质量和效率。</w:t>
      </w:r>
    </w:p>
    <w:p>
      <w:pPr>
        <w:numPr>
          <w:ilvl w:val="0"/>
          <w:numId w:val="1"/>
        </w:numPr>
        <w:spacing w:line="560" w:lineRule="exact"/>
        <w:ind w:left="0" w:leftChars="0" w:firstLine="602" w:firstLineChars="200"/>
        <w:outlineLvl w:val="0"/>
        <w:rPr>
          <w:rFonts w:hint="eastAsia" w:ascii="仿宋" w:hAnsi="仿宋" w:eastAsia="仿宋"/>
          <w:b/>
          <w:bCs/>
          <w:color w:val="000000"/>
          <w:sz w:val="30"/>
          <w:szCs w:val="24"/>
        </w:rPr>
      </w:pPr>
      <w:r>
        <w:rPr>
          <w:rFonts w:hint="eastAsia" w:ascii="仿宋" w:hAnsi="仿宋" w:eastAsia="仿宋"/>
          <w:b/>
          <w:bCs/>
          <w:color w:val="000000"/>
          <w:sz w:val="30"/>
          <w:szCs w:val="24"/>
        </w:rPr>
        <w:t>项目开展及资金支出情况</w:t>
      </w:r>
    </w:p>
    <w:p>
      <w:pPr>
        <w:numPr>
          <w:ilvl w:val="0"/>
          <w:numId w:val="2"/>
        </w:numPr>
        <w:spacing w:line="560" w:lineRule="exact"/>
        <w:ind w:firstLine="600" w:firstLineChars="200"/>
        <w:outlineLvl w:val="1"/>
        <w:rPr>
          <w:rFonts w:hint="eastAsia" w:ascii="仿宋" w:hAnsi="仿宋" w:eastAsia="仿宋"/>
          <w:color w:val="000000"/>
          <w:sz w:val="30"/>
          <w:szCs w:val="24"/>
        </w:rPr>
      </w:pPr>
      <w:r>
        <w:rPr>
          <w:rFonts w:hint="eastAsia" w:ascii="仿宋" w:hAnsi="仿宋" w:eastAsia="仿宋"/>
          <w:color w:val="000000"/>
          <w:sz w:val="30"/>
          <w:szCs w:val="24"/>
        </w:rPr>
        <w:t>项目开展情况</w:t>
      </w:r>
    </w:p>
    <w:p>
      <w:pPr>
        <w:numPr>
          <w:ilvl w:val="0"/>
          <w:numId w:val="0"/>
        </w:numPr>
        <w:spacing w:line="560" w:lineRule="exact"/>
        <w:outlineLvl w:val="1"/>
        <w:rPr>
          <w:rFonts w:hint="default" w:ascii="仿宋" w:hAnsi="仿宋" w:eastAsia="仿宋"/>
          <w:color w:val="000000"/>
          <w:sz w:val="30"/>
          <w:szCs w:val="24"/>
          <w:lang w:val="en-US" w:eastAsia="zh-CN"/>
        </w:rPr>
      </w:pPr>
      <w:r>
        <w:rPr>
          <w:rFonts w:hint="eastAsia" w:ascii="仿宋" w:hAnsi="仿宋" w:eastAsia="仿宋"/>
          <w:color w:val="000000"/>
          <w:sz w:val="30"/>
          <w:szCs w:val="24"/>
          <w:lang w:val="en-US" w:eastAsia="zh-CN"/>
        </w:rPr>
        <w:t xml:space="preserve">   机构编制管理经费需满足我单位办公室日常办公支出，涵盖购买各项办公用品、印刷各类文件、办公设备购置、印刷、差旅、邮电等各项开支。</w:t>
      </w:r>
    </w:p>
    <w:p>
      <w:pPr>
        <w:spacing w:line="560" w:lineRule="exact"/>
        <w:ind w:firstLine="600" w:firstLineChars="200"/>
        <w:outlineLvl w:val="1"/>
        <w:rPr>
          <w:rFonts w:hint="eastAsia" w:ascii="仿宋" w:hAnsi="仿宋" w:eastAsia="仿宋"/>
          <w:color w:val="000000"/>
          <w:sz w:val="30"/>
          <w:szCs w:val="24"/>
          <w:highlight w:val="yellow"/>
        </w:rPr>
      </w:pPr>
      <w:r>
        <w:rPr>
          <w:rFonts w:hint="eastAsia" w:ascii="仿宋" w:hAnsi="仿宋" w:eastAsia="仿宋"/>
          <w:color w:val="000000"/>
          <w:sz w:val="30"/>
          <w:szCs w:val="24"/>
        </w:rPr>
        <w:t>（二）资金支出及结存情况</w:t>
      </w:r>
    </w:p>
    <w:p>
      <w:pPr>
        <w:spacing w:line="560" w:lineRule="exact"/>
        <w:ind w:firstLine="600" w:firstLineChars="200"/>
        <w:rPr>
          <w:rFonts w:hint="eastAsia" w:ascii="仿宋" w:hAnsi="仿宋" w:eastAsia="仿宋"/>
          <w:b/>
          <w:bCs/>
          <w:color w:val="000000"/>
          <w:sz w:val="30"/>
          <w:szCs w:val="24"/>
        </w:rPr>
      </w:pPr>
      <w:r>
        <w:rPr>
          <w:rFonts w:hint="eastAsia" w:ascii="仿宋" w:hAnsi="仿宋" w:eastAsia="仿宋"/>
          <w:color w:val="000000"/>
          <w:sz w:val="30"/>
          <w:szCs w:val="24"/>
        </w:rPr>
        <w:t>该项目2019年度预算安排</w:t>
      </w:r>
      <w:r>
        <w:rPr>
          <w:rFonts w:hint="eastAsia" w:ascii="仿宋" w:hAnsi="仿宋" w:eastAsia="仿宋"/>
          <w:color w:val="000000"/>
          <w:sz w:val="30"/>
          <w:szCs w:val="24"/>
          <w:lang w:val="en-US" w:eastAsia="zh-CN"/>
        </w:rPr>
        <w:t>16.15</w:t>
      </w:r>
      <w:r>
        <w:rPr>
          <w:rFonts w:hint="eastAsia" w:ascii="仿宋" w:hAnsi="仿宋" w:eastAsia="仿宋"/>
          <w:color w:val="000000"/>
          <w:sz w:val="30"/>
          <w:szCs w:val="24"/>
        </w:rPr>
        <w:t>万元，截至2019年</w:t>
      </w:r>
      <w:r>
        <w:rPr>
          <w:rFonts w:hint="eastAsia" w:ascii="仿宋" w:hAnsi="仿宋" w:eastAsia="仿宋"/>
          <w:color w:val="000000"/>
          <w:sz w:val="30"/>
          <w:szCs w:val="24"/>
          <w:lang w:val="en-US" w:eastAsia="zh-CN"/>
        </w:rPr>
        <w:t>12</w:t>
      </w:r>
      <w:r>
        <w:rPr>
          <w:rFonts w:hint="eastAsia" w:ascii="仿宋" w:hAnsi="仿宋" w:eastAsia="仿宋"/>
          <w:color w:val="000000"/>
          <w:sz w:val="30"/>
          <w:szCs w:val="24"/>
        </w:rPr>
        <w:t>月，隆尧县财政局下拨</w:t>
      </w:r>
      <w:r>
        <w:rPr>
          <w:rFonts w:hint="eastAsia" w:ascii="仿宋" w:hAnsi="仿宋" w:eastAsia="仿宋"/>
          <w:color w:val="000000"/>
          <w:sz w:val="30"/>
          <w:szCs w:val="24"/>
          <w:lang w:eastAsia="zh-CN"/>
        </w:rPr>
        <w:t>县委编办</w:t>
      </w:r>
      <w:r>
        <w:rPr>
          <w:rFonts w:hint="eastAsia" w:ascii="仿宋" w:hAnsi="仿宋" w:eastAsia="仿宋"/>
          <w:color w:val="000000"/>
          <w:sz w:val="30"/>
          <w:szCs w:val="24"/>
        </w:rPr>
        <w:t>“</w:t>
      </w:r>
      <w:r>
        <w:rPr>
          <w:rFonts w:hint="eastAsia" w:ascii="仿宋" w:hAnsi="仿宋" w:eastAsia="仿宋"/>
          <w:color w:val="000000"/>
          <w:sz w:val="30"/>
          <w:szCs w:val="24"/>
          <w:lang w:eastAsia="zh-CN"/>
        </w:rPr>
        <w:t>机构编制管理经费</w:t>
      </w:r>
      <w:r>
        <w:rPr>
          <w:rFonts w:hint="eastAsia" w:ascii="仿宋" w:hAnsi="仿宋" w:eastAsia="仿宋"/>
          <w:color w:val="000000"/>
          <w:sz w:val="30"/>
          <w:szCs w:val="24"/>
        </w:rPr>
        <w:t>”资金共计</w:t>
      </w:r>
      <w:r>
        <w:rPr>
          <w:rFonts w:hint="eastAsia" w:ascii="仿宋" w:hAnsi="仿宋" w:eastAsia="仿宋"/>
          <w:color w:val="000000"/>
          <w:sz w:val="30"/>
          <w:szCs w:val="24"/>
          <w:lang w:val="en-US" w:eastAsia="zh-CN"/>
        </w:rPr>
        <w:t>16.15</w:t>
      </w:r>
      <w:r>
        <w:rPr>
          <w:rFonts w:hint="eastAsia" w:ascii="仿宋" w:hAnsi="仿宋" w:eastAsia="仿宋"/>
          <w:color w:val="000000"/>
          <w:sz w:val="30"/>
          <w:szCs w:val="24"/>
        </w:rPr>
        <w:t>万元，累计已支出</w:t>
      </w:r>
      <w:r>
        <w:rPr>
          <w:rFonts w:hint="eastAsia" w:ascii="仿宋" w:hAnsi="仿宋" w:eastAsia="仿宋"/>
          <w:color w:val="000000"/>
          <w:sz w:val="30"/>
          <w:szCs w:val="24"/>
          <w:lang w:val="en-US" w:eastAsia="zh-CN"/>
        </w:rPr>
        <w:t>16.15</w:t>
      </w:r>
      <w:r>
        <w:rPr>
          <w:rFonts w:hint="eastAsia" w:ascii="仿宋" w:hAnsi="仿宋" w:eastAsia="仿宋"/>
          <w:color w:val="000000"/>
          <w:sz w:val="30"/>
          <w:szCs w:val="24"/>
        </w:rPr>
        <w:t>万元，项目资金结存0万元。</w:t>
      </w:r>
    </w:p>
    <w:p>
      <w:pPr>
        <w:numPr>
          <w:ilvl w:val="0"/>
          <w:numId w:val="1"/>
        </w:numPr>
        <w:spacing w:line="560" w:lineRule="exact"/>
        <w:ind w:left="0" w:leftChars="0" w:firstLine="602" w:firstLineChars="200"/>
        <w:outlineLvl w:val="0"/>
        <w:rPr>
          <w:rFonts w:hint="eastAsia" w:ascii="仿宋" w:hAnsi="仿宋" w:eastAsia="仿宋"/>
          <w:b/>
          <w:sz w:val="30"/>
          <w:szCs w:val="32"/>
        </w:rPr>
      </w:pPr>
      <w:r>
        <w:rPr>
          <w:rFonts w:hint="eastAsia" w:ascii="仿宋" w:hAnsi="仿宋" w:eastAsia="仿宋"/>
          <w:b/>
          <w:sz w:val="30"/>
          <w:szCs w:val="32"/>
        </w:rPr>
        <w:t>综合评价情况</w:t>
      </w:r>
    </w:p>
    <w:p>
      <w:pPr>
        <w:numPr>
          <w:ilvl w:val="0"/>
          <w:numId w:val="3"/>
        </w:numPr>
        <w:spacing w:line="560" w:lineRule="exact"/>
        <w:ind w:firstLine="600" w:firstLineChars="200"/>
        <w:outlineLvl w:val="1"/>
        <w:rPr>
          <w:rFonts w:hint="eastAsia" w:ascii="仿宋" w:hAnsi="仿宋" w:eastAsia="仿宋"/>
          <w:bCs/>
          <w:sz w:val="30"/>
          <w:szCs w:val="24"/>
        </w:rPr>
      </w:pPr>
      <w:r>
        <w:rPr>
          <w:rFonts w:hint="eastAsia" w:ascii="仿宋" w:hAnsi="仿宋" w:eastAsia="仿宋"/>
          <w:bCs/>
          <w:sz w:val="30"/>
          <w:szCs w:val="24"/>
        </w:rPr>
        <w:t>绩效评价等级</w:t>
      </w:r>
    </w:p>
    <w:p>
      <w:pPr>
        <w:spacing w:line="560" w:lineRule="exact"/>
        <w:ind w:firstLine="600" w:firstLineChars="200"/>
        <w:rPr>
          <w:rFonts w:hint="eastAsia" w:ascii="仿宋" w:hAnsi="仿宋" w:eastAsia="仿宋"/>
          <w:bCs/>
          <w:sz w:val="30"/>
          <w:szCs w:val="24"/>
        </w:rPr>
      </w:pPr>
      <w:r>
        <w:rPr>
          <w:rFonts w:hint="eastAsia" w:ascii="仿宋" w:hAnsi="仿宋" w:eastAsia="仿宋"/>
          <w:color w:val="000000"/>
          <w:sz w:val="30"/>
          <w:szCs w:val="24"/>
        </w:rPr>
        <w:t>为了按照统一规则和标准实施评价工作，更加准确地反映绩效实际情况，我们将综合绩效评价级别分为4个等级。具体评价等级分类如</w:t>
      </w:r>
      <w:r>
        <w:rPr>
          <w:rFonts w:hint="eastAsia" w:ascii="仿宋" w:hAnsi="仿宋" w:eastAsia="仿宋"/>
          <w:bCs/>
          <w:sz w:val="30"/>
          <w:szCs w:val="24"/>
        </w:rPr>
        <w:t>下：</w:t>
      </w:r>
    </w:p>
    <w:p>
      <w:pPr>
        <w:spacing w:line="560" w:lineRule="exact"/>
        <w:jc w:val="center"/>
        <w:rPr>
          <w:rFonts w:hint="eastAsia" w:ascii="黑体" w:hAnsi="黑体" w:eastAsia="黑体" w:cs="黑体"/>
          <w:bCs/>
          <w:sz w:val="28"/>
        </w:rPr>
      </w:pPr>
      <w:r>
        <w:rPr>
          <w:rFonts w:hint="eastAsia" w:ascii="黑体" w:hAnsi="黑体" w:eastAsia="黑体" w:cs="黑体"/>
          <w:bCs/>
          <w:sz w:val="28"/>
        </w:rPr>
        <w:t xml:space="preserve">绩效评价等级分类表 </w:t>
      </w:r>
    </w:p>
    <w:tbl>
      <w:tblPr>
        <w:tblStyle w:val="6"/>
        <w:tblW w:w="8326" w:type="dxa"/>
        <w:jc w:val="center"/>
        <w:tblInd w:w="-8"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0" w:type="dxa"/>
          <w:bottom w:w="0" w:type="dxa"/>
          <w:right w:w="0" w:type="dxa"/>
        </w:tblCellMar>
      </w:tblPr>
      <w:tblGrid>
        <w:gridCol w:w="1583"/>
        <w:gridCol w:w="1631"/>
        <w:gridCol w:w="1741"/>
        <w:gridCol w:w="1740"/>
        <w:gridCol w:w="1631"/>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0" w:type="dxa"/>
            <w:bottom w:w="0" w:type="dxa"/>
            <w:right w:w="0" w:type="dxa"/>
          </w:tblCellMar>
        </w:tblPrEx>
        <w:trPr>
          <w:trHeight w:val="394" w:hRule="atLeast"/>
          <w:jc w:val="center"/>
        </w:trPr>
        <w:tc>
          <w:tcPr>
            <w:tcW w:w="158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仿宋" w:hAnsi="仿宋" w:eastAsia="仿宋" w:cs="仿宋"/>
                <w:color w:val="000000"/>
                <w:kern w:val="0"/>
                <w:sz w:val="22"/>
                <w:szCs w:val="21"/>
              </w:rPr>
            </w:pPr>
            <w:r>
              <w:rPr>
                <w:rFonts w:hint="eastAsia" w:ascii="仿宋" w:hAnsi="仿宋" w:eastAsia="仿宋" w:cs="仿宋"/>
                <w:bCs/>
                <w:color w:val="000000"/>
                <w:kern w:val="0"/>
                <w:sz w:val="24"/>
                <w:szCs w:val="24"/>
              </w:rPr>
              <w:t>项目</w:t>
            </w:r>
          </w:p>
        </w:tc>
        <w:tc>
          <w:tcPr>
            <w:tcW w:w="1631"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仿宋" w:hAnsi="仿宋" w:eastAsia="仿宋" w:cs="仿宋"/>
                <w:color w:val="000000"/>
                <w:kern w:val="0"/>
                <w:sz w:val="22"/>
                <w:szCs w:val="21"/>
              </w:rPr>
            </w:pPr>
            <w:r>
              <w:rPr>
                <w:rFonts w:hint="eastAsia" w:ascii="仿宋" w:hAnsi="仿宋" w:eastAsia="仿宋" w:cs="仿宋"/>
                <w:bCs/>
                <w:color w:val="000000"/>
                <w:kern w:val="0"/>
                <w:sz w:val="24"/>
                <w:szCs w:val="24"/>
              </w:rPr>
              <w:t>优</w:t>
            </w:r>
          </w:p>
        </w:tc>
        <w:tc>
          <w:tcPr>
            <w:tcW w:w="1741"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仿宋" w:hAnsi="仿宋" w:eastAsia="仿宋" w:cs="仿宋"/>
                <w:color w:val="000000"/>
                <w:kern w:val="0"/>
                <w:sz w:val="22"/>
                <w:szCs w:val="21"/>
              </w:rPr>
            </w:pPr>
            <w:r>
              <w:rPr>
                <w:rFonts w:hint="eastAsia" w:ascii="仿宋" w:hAnsi="仿宋" w:eastAsia="仿宋" w:cs="仿宋"/>
                <w:bCs/>
                <w:color w:val="000000"/>
                <w:kern w:val="0"/>
                <w:sz w:val="24"/>
                <w:szCs w:val="24"/>
              </w:rPr>
              <w:t>良</w:t>
            </w:r>
          </w:p>
        </w:tc>
        <w:tc>
          <w:tcPr>
            <w:tcW w:w="174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仿宋" w:hAnsi="仿宋" w:eastAsia="仿宋" w:cs="仿宋"/>
                <w:color w:val="000000"/>
                <w:kern w:val="0"/>
                <w:sz w:val="22"/>
                <w:szCs w:val="21"/>
              </w:rPr>
            </w:pPr>
            <w:r>
              <w:rPr>
                <w:rFonts w:hint="eastAsia" w:ascii="仿宋" w:hAnsi="仿宋" w:eastAsia="仿宋" w:cs="仿宋"/>
                <w:bCs/>
                <w:color w:val="000000"/>
                <w:kern w:val="0"/>
                <w:sz w:val="24"/>
                <w:szCs w:val="24"/>
              </w:rPr>
              <w:t>一般有效</w:t>
            </w:r>
          </w:p>
        </w:tc>
        <w:tc>
          <w:tcPr>
            <w:tcW w:w="1631"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仿宋" w:hAnsi="仿宋" w:eastAsia="仿宋" w:cs="仿宋"/>
                <w:color w:val="000000"/>
                <w:kern w:val="0"/>
                <w:sz w:val="22"/>
                <w:szCs w:val="21"/>
              </w:rPr>
            </w:pPr>
            <w:r>
              <w:rPr>
                <w:rFonts w:hint="eastAsia" w:ascii="仿宋" w:hAnsi="仿宋" w:eastAsia="仿宋" w:cs="仿宋"/>
                <w:bCs/>
                <w:color w:val="000000"/>
                <w:kern w:val="0"/>
                <w:sz w:val="24"/>
                <w:szCs w:val="24"/>
              </w:rPr>
              <w:t>无效</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0" w:type="dxa"/>
            <w:bottom w:w="0" w:type="dxa"/>
            <w:right w:w="0" w:type="dxa"/>
          </w:tblCellMar>
        </w:tblPrEx>
        <w:trPr>
          <w:trHeight w:val="454" w:hRule="atLeast"/>
          <w:jc w:val="center"/>
        </w:trPr>
        <w:tc>
          <w:tcPr>
            <w:tcW w:w="158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仿宋" w:hAnsi="仿宋" w:eastAsia="仿宋" w:cs="仿宋"/>
                <w:color w:val="000000"/>
                <w:kern w:val="0"/>
                <w:sz w:val="22"/>
                <w:szCs w:val="21"/>
              </w:rPr>
            </w:pPr>
            <w:r>
              <w:rPr>
                <w:rFonts w:hint="eastAsia" w:ascii="仿宋" w:hAnsi="仿宋" w:eastAsia="仿宋" w:cs="仿宋"/>
                <w:bCs/>
                <w:color w:val="000000"/>
                <w:kern w:val="0"/>
                <w:sz w:val="24"/>
                <w:szCs w:val="24"/>
              </w:rPr>
              <w:t>分值</w:t>
            </w:r>
          </w:p>
        </w:tc>
        <w:tc>
          <w:tcPr>
            <w:tcW w:w="1631"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仿宋" w:hAnsi="仿宋" w:eastAsia="仿宋" w:cs="仿宋"/>
                <w:color w:val="000000"/>
                <w:kern w:val="0"/>
                <w:sz w:val="22"/>
                <w:szCs w:val="21"/>
              </w:rPr>
            </w:pPr>
            <w:r>
              <w:rPr>
                <w:rFonts w:hint="eastAsia" w:ascii="仿宋" w:hAnsi="仿宋" w:eastAsia="仿宋" w:cs="仿宋"/>
                <w:bCs/>
                <w:color w:val="000000"/>
                <w:kern w:val="0"/>
                <w:sz w:val="24"/>
                <w:szCs w:val="24"/>
              </w:rPr>
              <w:t>≥90</w:t>
            </w:r>
          </w:p>
        </w:tc>
        <w:tc>
          <w:tcPr>
            <w:tcW w:w="1741"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仿宋" w:hAnsi="仿宋" w:eastAsia="仿宋" w:cs="仿宋"/>
                <w:color w:val="000000"/>
                <w:kern w:val="0"/>
                <w:sz w:val="22"/>
                <w:szCs w:val="21"/>
              </w:rPr>
            </w:pPr>
            <w:r>
              <w:rPr>
                <w:rFonts w:hint="eastAsia" w:ascii="仿宋" w:hAnsi="仿宋" w:eastAsia="仿宋" w:cs="仿宋"/>
                <w:bCs/>
                <w:color w:val="000000"/>
                <w:kern w:val="0"/>
                <w:sz w:val="24"/>
                <w:szCs w:val="24"/>
              </w:rPr>
              <w:t>(90,</w:t>
            </w:r>
            <w:r>
              <w:rPr>
                <w:rFonts w:hint="eastAsia" w:ascii="仿宋" w:hAnsi="仿宋" w:eastAsia="仿宋" w:cs="仿宋"/>
                <w:bCs/>
                <w:color w:val="000000"/>
                <w:kern w:val="0"/>
                <w:sz w:val="24"/>
                <w:szCs w:val="24"/>
                <w:lang w:val="en-US" w:eastAsia="zh-CN"/>
              </w:rPr>
              <w:t>8</w:t>
            </w:r>
            <w:r>
              <w:rPr>
                <w:rFonts w:hint="eastAsia" w:ascii="仿宋" w:hAnsi="仿宋" w:eastAsia="仿宋" w:cs="仿宋"/>
                <w:bCs/>
                <w:color w:val="000000"/>
                <w:kern w:val="0"/>
                <w:sz w:val="24"/>
                <w:szCs w:val="24"/>
              </w:rPr>
              <w:t>5]</w:t>
            </w:r>
          </w:p>
        </w:tc>
        <w:tc>
          <w:tcPr>
            <w:tcW w:w="174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仿宋" w:hAnsi="仿宋" w:eastAsia="仿宋" w:cs="仿宋"/>
                <w:color w:val="000000"/>
                <w:kern w:val="0"/>
                <w:sz w:val="22"/>
                <w:szCs w:val="21"/>
              </w:rPr>
            </w:pPr>
            <w:r>
              <w:rPr>
                <w:rFonts w:hint="eastAsia" w:ascii="仿宋" w:hAnsi="仿宋" w:eastAsia="仿宋" w:cs="仿宋"/>
                <w:bCs/>
                <w:color w:val="000000"/>
                <w:kern w:val="0"/>
                <w:sz w:val="24"/>
                <w:szCs w:val="24"/>
              </w:rPr>
              <w:t>(</w:t>
            </w:r>
            <w:r>
              <w:rPr>
                <w:rFonts w:hint="eastAsia" w:ascii="仿宋" w:hAnsi="仿宋" w:eastAsia="仿宋" w:cs="仿宋"/>
                <w:bCs/>
                <w:color w:val="000000"/>
                <w:kern w:val="0"/>
                <w:sz w:val="24"/>
                <w:szCs w:val="24"/>
                <w:lang w:val="en-US" w:eastAsia="zh-CN"/>
              </w:rPr>
              <w:t>8</w:t>
            </w:r>
            <w:r>
              <w:rPr>
                <w:rFonts w:hint="eastAsia" w:ascii="仿宋" w:hAnsi="仿宋" w:eastAsia="仿宋" w:cs="仿宋"/>
                <w:bCs/>
                <w:color w:val="000000"/>
                <w:kern w:val="0"/>
                <w:sz w:val="24"/>
                <w:szCs w:val="24"/>
              </w:rPr>
              <w:t>5,</w:t>
            </w:r>
            <w:r>
              <w:rPr>
                <w:rFonts w:hint="eastAsia" w:ascii="仿宋" w:hAnsi="仿宋" w:eastAsia="仿宋" w:cs="仿宋"/>
                <w:bCs/>
                <w:color w:val="000000"/>
                <w:kern w:val="0"/>
                <w:sz w:val="24"/>
                <w:szCs w:val="24"/>
                <w:lang w:val="en-US" w:eastAsia="zh-CN"/>
              </w:rPr>
              <w:t>7</w:t>
            </w:r>
            <w:r>
              <w:rPr>
                <w:rFonts w:hint="eastAsia" w:ascii="仿宋" w:hAnsi="仿宋" w:eastAsia="仿宋" w:cs="仿宋"/>
                <w:bCs/>
                <w:color w:val="000000"/>
                <w:kern w:val="0"/>
                <w:sz w:val="24"/>
                <w:szCs w:val="24"/>
              </w:rPr>
              <w:t>0]</w:t>
            </w:r>
          </w:p>
        </w:tc>
        <w:tc>
          <w:tcPr>
            <w:tcW w:w="1631"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仿宋" w:hAnsi="仿宋" w:eastAsia="仿宋" w:cs="仿宋"/>
                <w:color w:val="000000"/>
                <w:kern w:val="0"/>
                <w:sz w:val="22"/>
                <w:szCs w:val="21"/>
              </w:rPr>
            </w:pPr>
            <w:r>
              <w:rPr>
                <w:rFonts w:hint="eastAsia" w:ascii="仿宋" w:hAnsi="仿宋" w:eastAsia="仿宋" w:cs="仿宋"/>
                <w:bCs/>
                <w:color w:val="000000"/>
                <w:kern w:val="0"/>
                <w:sz w:val="24"/>
                <w:szCs w:val="24"/>
              </w:rPr>
              <w:t>&lt;</w:t>
            </w:r>
            <w:r>
              <w:rPr>
                <w:rFonts w:hint="eastAsia" w:ascii="仿宋" w:hAnsi="仿宋" w:eastAsia="仿宋" w:cs="仿宋"/>
                <w:bCs/>
                <w:color w:val="000000"/>
                <w:kern w:val="0"/>
                <w:sz w:val="24"/>
                <w:szCs w:val="24"/>
                <w:lang w:val="en-US" w:eastAsia="zh-CN"/>
              </w:rPr>
              <w:t>7</w:t>
            </w:r>
            <w:r>
              <w:rPr>
                <w:rFonts w:hint="eastAsia" w:ascii="仿宋" w:hAnsi="仿宋" w:eastAsia="仿宋" w:cs="仿宋"/>
                <w:bCs/>
                <w:color w:val="000000"/>
                <w:kern w:val="0"/>
                <w:sz w:val="24"/>
                <w:szCs w:val="24"/>
              </w:rPr>
              <w:t>0</w:t>
            </w:r>
          </w:p>
        </w:tc>
      </w:tr>
    </w:tbl>
    <w:p>
      <w:pPr>
        <w:numPr>
          <w:ilvl w:val="0"/>
          <w:numId w:val="0"/>
        </w:numPr>
        <w:spacing w:line="560" w:lineRule="exact"/>
        <w:outlineLvl w:val="1"/>
        <w:rPr>
          <w:rFonts w:hint="eastAsia" w:ascii="仿宋" w:hAnsi="仿宋" w:eastAsia="仿宋"/>
          <w:bCs/>
          <w:sz w:val="30"/>
          <w:szCs w:val="24"/>
        </w:rPr>
      </w:pPr>
    </w:p>
    <w:p>
      <w:pPr>
        <w:spacing w:line="560" w:lineRule="exact"/>
        <w:ind w:firstLine="600" w:firstLineChars="200"/>
        <w:outlineLvl w:val="1"/>
        <w:rPr>
          <w:rFonts w:hint="eastAsia" w:ascii="仿宋" w:hAnsi="仿宋" w:eastAsia="仿宋"/>
          <w:bCs/>
          <w:sz w:val="30"/>
          <w:szCs w:val="24"/>
        </w:rPr>
      </w:pPr>
      <w:r>
        <w:rPr>
          <w:rFonts w:hint="eastAsia" w:ascii="仿宋" w:hAnsi="仿宋" w:eastAsia="仿宋"/>
          <w:bCs/>
          <w:sz w:val="30"/>
          <w:szCs w:val="24"/>
        </w:rPr>
        <w:t>（二）绩效评价指标</w:t>
      </w:r>
    </w:p>
    <w:p>
      <w:pPr>
        <w:spacing w:line="560" w:lineRule="exact"/>
        <w:ind w:firstLine="600" w:firstLineChars="200"/>
        <w:rPr>
          <w:rFonts w:hint="eastAsia" w:ascii="仿宋" w:hAnsi="仿宋" w:eastAsia="仿宋"/>
          <w:bCs/>
          <w:sz w:val="30"/>
          <w:szCs w:val="24"/>
        </w:rPr>
      </w:pPr>
      <w:r>
        <w:rPr>
          <w:rFonts w:hint="eastAsia" w:ascii="仿宋" w:hAnsi="仿宋" w:eastAsia="仿宋"/>
          <w:color w:val="000000"/>
          <w:sz w:val="30"/>
          <w:szCs w:val="24"/>
        </w:rPr>
        <w:t>本次绩效评价，我们根据实际情况，暂定项目绩效总分100分，确定了评分扣减项目，具体指标及分值情况设定如</w:t>
      </w:r>
      <w:r>
        <w:rPr>
          <w:rFonts w:hint="eastAsia" w:ascii="仿宋" w:hAnsi="仿宋" w:eastAsia="仿宋"/>
          <w:bCs/>
          <w:sz w:val="30"/>
          <w:szCs w:val="24"/>
        </w:rPr>
        <w:t>下：</w:t>
      </w:r>
    </w:p>
    <w:p>
      <w:pPr>
        <w:spacing w:line="560" w:lineRule="exact"/>
        <w:jc w:val="center"/>
        <w:rPr>
          <w:rFonts w:hint="eastAsia" w:ascii="黑体" w:hAnsi="黑体" w:eastAsia="黑体" w:cs="黑体"/>
          <w:bCs/>
          <w:sz w:val="28"/>
        </w:rPr>
      </w:pPr>
      <w:r>
        <w:rPr>
          <w:rFonts w:hint="eastAsia" w:ascii="黑体" w:hAnsi="黑体" w:eastAsia="黑体" w:cs="黑体"/>
          <w:bCs/>
          <w:sz w:val="28"/>
        </w:rPr>
        <w:t>项目绩效指标明细表</w:t>
      </w:r>
    </w:p>
    <w:tbl>
      <w:tblPr>
        <w:tblStyle w:val="6"/>
        <w:tblW w:w="8342" w:type="dxa"/>
        <w:tblInd w:w="0" w:type="dxa"/>
        <w:tblLayout w:type="fixed"/>
        <w:tblCellMar>
          <w:top w:w="15" w:type="dxa"/>
          <w:left w:w="15" w:type="dxa"/>
          <w:bottom w:w="15" w:type="dxa"/>
          <w:right w:w="15" w:type="dxa"/>
        </w:tblCellMar>
      </w:tblPr>
      <w:tblGrid>
        <w:gridCol w:w="671"/>
        <w:gridCol w:w="1265"/>
        <w:gridCol w:w="3195"/>
        <w:gridCol w:w="660"/>
        <w:gridCol w:w="660"/>
        <w:gridCol w:w="660"/>
        <w:gridCol w:w="1231"/>
      </w:tblGrid>
      <w:tr>
        <w:tblPrEx>
          <w:tblLayout w:type="fixed"/>
          <w:tblCellMar>
            <w:top w:w="15" w:type="dxa"/>
            <w:left w:w="15" w:type="dxa"/>
            <w:bottom w:w="15" w:type="dxa"/>
            <w:right w:w="15" w:type="dxa"/>
          </w:tblCellMar>
        </w:tblPrEx>
        <w:trPr>
          <w:trHeight w:val="454" w:hRule="atLeast"/>
          <w:tblHeader/>
        </w:trPr>
        <w:tc>
          <w:tcPr>
            <w:tcW w:w="671" w:type="dxa"/>
            <w:tcBorders>
              <w:top w:val="single" w:color="000000" w:sz="4" w:space="0"/>
              <w:left w:val="single" w:color="000000" w:sz="4" w:space="0"/>
              <w:bottom w:val="single" w:color="auto" w:sz="4" w:space="0"/>
              <w:right w:val="single" w:color="000000" w:sz="4" w:space="0"/>
            </w:tcBorders>
            <w:noWrap w:val="0"/>
            <w:vAlign w:val="center"/>
          </w:tcPr>
          <w:p>
            <w:pPr>
              <w:widowControl/>
              <w:jc w:val="center"/>
              <w:textAlignment w:val="center"/>
              <w:rPr>
                <w:rFonts w:hint="eastAsia" w:ascii="仿宋" w:hAnsi="仿宋" w:eastAsia="仿宋" w:cs="仿宋"/>
                <w:b/>
                <w:bCs/>
                <w:color w:val="000000"/>
                <w:szCs w:val="21"/>
                <w:highlight w:val="yellow"/>
              </w:rPr>
            </w:pPr>
            <w:r>
              <w:rPr>
                <w:rFonts w:hint="eastAsia" w:ascii="仿宋" w:hAnsi="仿宋" w:eastAsia="仿宋" w:cs="仿宋"/>
                <w:b/>
                <w:color w:val="000000"/>
                <w:kern w:val="0"/>
                <w:szCs w:val="21"/>
                <w:lang w:bidi="ar"/>
              </w:rPr>
              <w:t>内容</w:t>
            </w:r>
          </w:p>
        </w:tc>
        <w:tc>
          <w:tcPr>
            <w:tcW w:w="1265" w:type="dxa"/>
            <w:tcBorders>
              <w:top w:val="single" w:color="000000" w:sz="4" w:space="0"/>
              <w:left w:val="single" w:color="000000" w:sz="4" w:space="0"/>
              <w:bottom w:val="single" w:color="auto" w:sz="4" w:space="0"/>
              <w:right w:val="single" w:color="000000" w:sz="4" w:space="0"/>
            </w:tcBorders>
            <w:noWrap w:val="0"/>
            <w:vAlign w:val="center"/>
          </w:tcPr>
          <w:p>
            <w:pPr>
              <w:widowControl/>
              <w:jc w:val="center"/>
              <w:textAlignment w:val="center"/>
              <w:rPr>
                <w:rFonts w:hint="eastAsia" w:ascii="仿宋" w:hAnsi="仿宋" w:eastAsia="仿宋" w:cs="仿宋"/>
                <w:b/>
                <w:bCs/>
                <w:color w:val="000000"/>
                <w:szCs w:val="21"/>
                <w:highlight w:val="yellow"/>
              </w:rPr>
            </w:pPr>
            <w:r>
              <w:rPr>
                <w:rFonts w:hint="eastAsia" w:ascii="仿宋" w:hAnsi="仿宋" w:eastAsia="仿宋" w:cs="仿宋"/>
                <w:b/>
                <w:color w:val="000000"/>
                <w:kern w:val="0"/>
                <w:szCs w:val="21"/>
                <w:lang w:bidi="ar"/>
              </w:rPr>
              <w:t>指标</w:t>
            </w:r>
          </w:p>
        </w:tc>
        <w:tc>
          <w:tcPr>
            <w:tcW w:w="319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000000"/>
                <w:szCs w:val="21"/>
                <w:highlight w:val="yellow"/>
              </w:rPr>
            </w:pPr>
            <w:r>
              <w:rPr>
                <w:rFonts w:hint="eastAsia" w:ascii="仿宋" w:hAnsi="仿宋" w:eastAsia="仿宋" w:cs="仿宋"/>
                <w:b/>
                <w:color w:val="000000"/>
                <w:kern w:val="0"/>
                <w:szCs w:val="21"/>
                <w:lang w:bidi="ar"/>
              </w:rPr>
              <w:t>指标说明</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000000"/>
                <w:szCs w:val="21"/>
                <w:highlight w:val="yellow"/>
              </w:rPr>
            </w:pPr>
            <w:r>
              <w:rPr>
                <w:rFonts w:hint="eastAsia" w:ascii="仿宋" w:hAnsi="仿宋" w:eastAsia="仿宋" w:cs="仿宋"/>
                <w:b/>
                <w:color w:val="000000"/>
                <w:kern w:val="0"/>
                <w:szCs w:val="21"/>
                <w:lang w:bidi="ar"/>
              </w:rPr>
              <w:t>分值</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000000"/>
                <w:szCs w:val="21"/>
                <w:highlight w:val="yellow"/>
              </w:rPr>
            </w:pPr>
            <w:r>
              <w:rPr>
                <w:rFonts w:hint="eastAsia" w:ascii="仿宋" w:hAnsi="仿宋" w:eastAsia="仿宋" w:cs="仿宋"/>
                <w:b/>
                <w:color w:val="000000"/>
                <w:kern w:val="0"/>
                <w:szCs w:val="21"/>
                <w:lang w:bidi="ar"/>
              </w:rPr>
              <w:t>扣分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000000"/>
                <w:szCs w:val="21"/>
                <w:highlight w:val="yellow"/>
              </w:rPr>
            </w:pPr>
            <w:r>
              <w:rPr>
                <w:rFonts w:hint="eastAsia" w:ascii="仿宋" w:hAnsi="仿宋" w:eastAsia="仿宋" w:cs="仿宋"/>
                <w:b/>
                <w:color w:val="000000"/>
                <w:kern w:val="0"/>
                <w:szCs w:val="21"/>
                <w:lang w:bidi="ar"/>
              </w:rPr>
              <w:t>得分</w:t>
            </w:r>
          </w:p>
        </w:tc>
        <w:tc>
          <w:tcPr>
            <w:tcW w:w="12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000000"/>
                <w:szCs w:val="21"/>
                <w:highlight w:val="yellow"/>
              </w:rPr>
            </w:pPr>
            <w:r>
              <w:rPr>
                <w:rFonts w:hint="eastAsia" w:ascii="仿宋" w:hAnsi="仿宋" w:eastAsia="仿宋" w:cs="仿宋"/>
                <w:b/>
                <w:color w:val="000000"/>
                <w:kern w:val="0"/>
                <w:szCs w:val="21"/>
                <w:lang w:bidi="ar"/>
              </w:rPr>
              <w:t>备注</w:t>
            </w:r>
          </w:p>
        </w:tc>
      </w:tr>
      <w:tr>
        <w:tblPrEx>
          <w:tblLayout w:type="fixed"/>
          <w:tblCellMar>
            <w:top w:w="15" w:type="dxa"/>
            <w:left w:w="15" w:type="dxa"/>
            <w:bottom w:w="15" w:type="dxa"/>
            <w:right w:w="15" w:type="dxa"/>
          </w:tblCellMar>
        </w:tblPrEx>
        <w:trPr>
          <w:trHeight w:val="1745" w:hRule="atLeast"/>
        </w:trPr>
        <w:tc>
          <w:tcPr>
            <w:tcW w:w="671" w:type="dxa"/>
            <w:vMerge w:val="restart"/>
            <w:tcBorders>
              <w:top w:val="single" w:color="auto" w:sz="4" w:space="0"/>
              <w:left w:val="single" w:color="auto" w:sz="4" w:space="0"/>
              <w:bottom w:val="single" w:color="auto"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项目立项</w:t>
            </w:r>
          </w:p>
        </w:tc>
        <w:tc>
          <w:tcPr>
            <w:tcW w:w="1265" w:type="dxa"/>
            <w:tcBorders>
              <w:top w:val="single" w:color="auto" w:sz="4" w:space="0"/>
              <w:left w:val="single" w:color="000000"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立项依据充分性</w:t>
            </w:r>
          </w:p>
        </w:tc>
        <w:tc>
          <w:tcPr>
            <w:tcW w:w="3195" w:type="dxa"/>
            <w:tcBorders>
              <w:top w:val="single" w:color="000000" w:sz="4" w:space="0"/>
              <w:left w:val="single" w:color="auto" w:sz="4" w:space="0"/>
              <w:bottom w:val="single" w:color="000000" w:sz="4" w:space="0"/>
              <w:right w:val="single" w:color="000000" w:sz="4" w:space="0"/>
            </w:tcBorders>
            <w:noWrap w:val="0"/>
            <w:vAlign w:val="center"/>
          </w:tcPr>
          <w:p>
            <w:pPr>
              <w:widowControl/>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与国家相关法律法规、国民经济发展规划不相符合扣2分；与地区发展政策和优先发展重点不相符合，扣2分；与部门职能、发展规划及需求不相符合，扣1分。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5</w:t>
            </w:r>
          </w:p>
        </w:tc>
        <w:tc>
          <w:tcPr>
            <w:tcW w:w="123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r>
      <w:tr>
        <w:tblPrEx>
          <w:tblLayout w:type="fixed"/>
          <w:tblCellMar>
            <w:top w:w="15" w:type="dxa"/>
            <w:left w:w="15" w:type="dxa"/>
            <w:bottom w:w="15" w:type="dxa"/>
            <w:right w:w="15" w:type="dxa"/>
          </w:tblCellMar>
        </w:tblPrEx>
        <w:trPr>
          <w:trHeight w:val="454" w:hRule="atLeast"/>
        </w:trPr>
        <w:tc>
          <w:tcPr>
            <w:tcW w:w="671" w:type="dxa"/>
            <w:vMerge w:val="continue"/>
            <w:tcBorders>
              <w:top w:val="single" w:color="auto" w:sz="4" w:space="0"/>
              <w:left w:val="single" w:color="auto"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1265" w:type="dxa"/>
            <w:tcBorders>
              <w:top w:val="single" w:color="auto"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项目立项规范性</w:t>
            </w:r>
          </w:p>
        </w:tc>
        <w:tc>
          <w:tcPr>
            <w:tcW w:w="3195"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项目未按照规定的程序申请设立，扣3分；未经过必要的可行性研究或财政投资评审，扣2分。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5</w:t>
            </w:r>
          </w:p>
        </w:tc>
        <w:tc>
          <w:tcPr>
            <w:tcW w:w="123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r>
      <w:tr>
        <w:tblPrEx>
          <w:tblLayout w:type="fixed"/>
          <w:tblCellMar>
            <w:top w:w="15" w:type="dxa"/>
            <w:left w:w="15" w:type="dxa"/>
            <w:bottom w:w="15" w:type="dxa"/>
            <w:right w:w="15" w:type="dxa"/>
          </w:tblCellMar>
        </w:tblPrEx>
        <w:trPr>
          <w:trHeight w:val="454" w:hRule="atLeast"/>
        </w:trPr>
        <w:tc>
          <w:tcPr>
            <w:tcW w:w="671" w:type="dxa"/>
            <w:vMerge w:val="continue"/>
            <w:tcBorders>
              <w:left w:val="single" w:color="auto"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绩效目标合理性</w:t>
            </w:r>
          </w:p>
        </w:tc>
        <w:tc>
          <w:tcPr>
            <w:tcW w:w="3195"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无绩效目标，扣5分；目标指向不明确，扣2分；目标未具体细化或细化不足，扣2分；不具备可实现性，扣1分。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lang w:eastAsia="zh-CN"/>
              </w:rPr>
            </w:pPr>
            <w:r>
              <w:rPr>
                <w:rFonts w:hint="eastAsia" w:ascii="仿宋" w:hAnsi="仿宋" w:eastAsia="仿宋" w:cs="仿宋"/>
                <w:color w:val="000000"/>
                <w:kern w:val="0"/>
                <w:szCs w:val="21"/>
                <w:lang w:val="en-US" w:eastAsia="zh-CN" w:bidi="ar"/>
              </w:rPr>
              <w:t>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lang w:eastAsia="zh-CN"/>
              </w:rPr>
            </w:pPr>
            <w:r>
              <w:rPr>
                <w:rFonts w:hint="eastAsia" w:ascii="仿宋" w:hAnsi="仿宋" w:eastAsia="仿宋" w:cs="仿宋"/>
                <w:color w:val="000000"/>
                <w:kern w:val="0"/>
                <w:szCs w:val="21"/>
                <w:lang w:val="en-US" w:eastAsia="zh-CN" w:bidi="ar"/>
              </w:rPr>
              <w:t>3</w:t>
            </w:r>
          </w:p>
        </w:tc>
        <w:tc>
          <w:tcPr>
            <w:tcW w:w="123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kern w:val="0"/>
                <w:szCs w:val="21"/>
                <w:highlight w:val="yellow"/>
                <w:lang w:bidi="ar"/>
              </w:rPr>
            </w:pPr>
          </w:p>
        </w:tc>
      </w:tr>
      <w:tr>
        <w:tblPrEx>
          <w:tblLayout w:type="fixed"/>
          <w:tblCellMar>
            <w:top w:w="15" w:type="dxa"/>
            <w:left w:w="15" w:type="dxa"/>
            <w:bottom w:w="15" w:type="dxa"/>
            <w:right w:w="15" w:type="dxa"/>
          </w:tblCellMar>
        </w:tblPrEx>
        <w:trPr>
          <w:trHeight w:val="454" w:hRule="atLeast"/>
        </w:trPr>
        <w:tc>
          <w:tcPr>
            <w:tcW w:w="671" w:type="dxa"/>
            <w:vMerge w:val="restart"/>
            <w:tcBorders>
              <w:top w:val="single" w:color="000000" w:sz="4" w:space="0"/>
              <w:left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制度管理</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项目管理制度健全性</w:t>
            </w:r>
          </w:p>
        </w:tc>
        <w:tc>
          <w:tcPr>
            <w:tcW w:w="3195"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不具备适用于本项目的合法合规的管理制度、办法或方案，扣6分；项目管理制度内容不完整，未覆盖明确的具体项目管理、财务管理等制度，扣2分；项目管理制度不具备操作性，扣2分。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6</w:t>
            </w:r>
          </w:p>
        </w:tc>
        <w:tc>
          <w:tcPr>
            <w:tcW w:w="123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r>
      <w:tr>
        <w:tblPrEx>
          <w:tblLayout w:type="fixed"/>
          <w:tblCellMar>
            <w:top w:w="15" w:type="dxa"/>
            <w:left w:w="15" w:type="dxa"/>
            <w:bottom w:w="15" w:type="dxa"/>
            <w:right w:w="15" w:type="dxa"/>
          </w:tblCellMar>
        </w:tblPrEx>
        <w:trPr>
          <w:trHeight w:val="454" w:hRule="atLeast"/>
        </w:trPr>
        <w:tc>
          <w:tcPr>
            <w:tcW w:w="671" w:type="dxa"/>
            <w:vMerge w:val="continue"/>
            <w:tcBorders>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制度执行有效性</w:t>
            </w:r>
          </w:p>
        </w:tc>
        <w:tc>
          <w:tcPr>
            <w:tcW w:w="3195"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项目实施未严格遵守相关法律法规和业务管理规定，每发现一项，扣2分，最高扣10分。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10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10</w:t>
            </w:r>
          </w:p>
        </w:tc>
        <w:tc>
          <w:tcPr>
            <w:tcW w:w="123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r>
      <w:tr>
        <w:tblPrEx>
          <w:tblLayout w:type="fixed"/>
          <w:tblCellMar>
            <w:top w:w="15" w:type="dxa"/>
            <w:left w:w="15" w:type="dxa"/>
            <w:bottom w:w="15" w:type="dxa"/>
            <w:right w:w="15" w:type="dxa"/>
          </w:tblCellMar>
        </w:tblPrEx>
        <w:trPr>
          <w:trHeight w:val="946" w:hRule="atLeast"/>
        </w:trPr>
        <w:tc>
          <w:tcPr>
            <w:tcW w:w="67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财务管理</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资金到位情况</w:t>
            </w:r>
          </w:p>
        </w:tc>
        <w:tc>
          <w:tcPr>
            <w:tcW w:w="3195"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预算资金到位率&lt;95%，且对项目开展造成不良影响，按计算预算资金到位率比例扣分，最高扣5分。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lang w:eastAsia="zh-CN"/>
              </w:rPr>
            </w:pPr>
            <w:r>
              <w:rPr>
                <w:rFonts w:hint="eastAsia" w:ascii="仿宋" w:hAnsi="仿宋" w:eastAsia="仿宋" w:cs="仿宋"/>
                <w:color w:val="000000"/>
                <w:kern w:val="0"/>
                <w:szCs w:val="21"/>
                <w:lang w:val="en-US" w:eastAsia="zh-CN" w:bidi="ar"/>
              </w:rPr>
              <w:t>5</w:t>
            </w:r>
          </w:p>
        </w:tc>
        <w:tc>
          <w:tcPr>
            <w:tcW w:w="123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ascii="仿宋" w:hAnsi="仿宋" w:eastAsia="仿宋" w:cs="仿宋"/>
                <w:color w:val="000000"/>
                <w:kern w:val="0"/>
                <w:szCs w:val="21"/>
                <w:highlight w:val="yellow"/>
                <w:lang w:bidi="ar"/>
              </w:rPr>
            </w:pPr>
          </w:p>
        </w:tc>
      </w:tr>
      <w:tr>
        <w:tblPrEx>
          <w:tblLayout w:type="fixed"/>
          <w:tblCellMar>
            <w:top w:w="15" w:type="dxa"/>
            <w:left w:w="15" w:type="dxa"/>
            <w:bottom w:w="15" w:type="dxa"/>
            <w:right w:w="15" w:type="dxa"/>
          </w:tblCellMar>
        </w:tblPrEx>
        <w:trPr>
          <w:trHeight w:val="454" w:hRule="atLeast"/>
        </w:trPr>
        <w:tc>
          <w:tcPr>
            <w:tcW w:w="671"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到位及时率</w:t>
            </w:r>
          </w:p>
        </w:tc>
        <w:tc>
          <w:tcPr>
            <w:tcW w:w="3195"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资金到位不及时，且提供合理解释的，通过计算年资金及时率，按比例扣分，最高扣5分；资金到位不及时，无合理原因，得0分。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lang w:eastAsia="zh-CN"/>
              </w:rPr>
            </w:pPr>
            <w:r>
              <w:rPr>
                <w:rFonts w:hint="eastAsia" w:ascii="仿宋" w:hAnsi="仿宋" w:eastAsia="仿宋" w:cs="仿宋"/>
                <w:color w:val="000000"/>
                <w:kern w:val="0"/>
                <w:szCs w:val="21"/>
                <w:lang w:val="en-US" w:eastAsia="zh-CN" w:bidi="ar"/>
              </w:rPr>
              <w:t>5</w:t>
            </w:r>
          </w:p>
        </w:tc>
        <w:tc>
          <w:tcPr>
            <w:tcW w:w="123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r>
      <w:tr>
        <w:tblPrEx>
          <w:tblLayout w:type="fixed"/>
          <w:tblCellMar>
            <w:top w:w="15" w:type="dxa"/>
            <w:left w:w="15" w:type="dxa"/>
            <w:bottom w:w="15" w:type="dxa"/>
            <w:right w:w="15" w:type="dxa"/>
          </w:tblCellMar>
        </w:tblPrEx>
        <w:trPr>
          <w:trHeight w:val="454" w:hRule="atLeast"/>
        </w:trPr>
        <w:tc>
          <w:tcPr>
            <w:tcW w:w="671"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预算执行率</w:t>
            </w:r>
          </w:p>
        </w:tc>
        <w:tc>
          <w:tcPr>
            <w:tcW w:w="3195"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绩效分值=预算执行率*本项目分值；预算执行率=实际支出数/预算到位数，预算执行率≤95%，按比例扣分，最高扣5分。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5</w:t>
            </w:r>
          </w:p>
        </w:tc>
        <w:tc>
          <w:tcPr>
            <w:tcW w:w="123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r>
      <w:tr>
        <w:tblPrEx>
          <w:tblLayout w:type="fixed"/>
          <w:tblCellMar>
            <w:top w:w="15" w:type="dxa"/>
            <w:left w:w="15" w:type="dxa"/>
            <w:bottom w:w="15" w:type="dxa"/>
            <w:right w:w="15" w:type="dxa"/>
          </w:tblCellMar>
        </w:tblPrEx>
        <w:trPr>
          <w:trHeight w:val="454" w:hRule="atLeast"/>
        </w:trPr>
        <w:tc>
          <w:tcPr>
            <w:tcW w:w="671"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预算执行及时率</w:t>
            </w:r>
          </w:p>
        </w:tc>
        <w:tc>
          <w:tcPr>
            <w:tcW w:w="319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资金未按照合同或方案按时支付，通过计算年预算执行及时率，按比例扣分，最高扣5分；资金到位不及时，无合理原因，得0分。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5</w:t>
            </w:r>
          </w:p>
        </w:tc>
        <w:tc>
          <w:tcPr>
            <w:tcW w:w="123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r>
      <w:tr>
        <w:tblPrEx>
          <w:tblLayout w:type="fixed"/>
          <w:tblCellMar>
            <w:top w:w="15" w:type="dxa"/>
            <w:left w:w="15" w:type="dxa"/>
            <w:bottom w:w="15" w:type="dxa"/>
            <w:right w:w="15" w:type="dxa"/>
          </w:tblCellMar>
        </w:tblPrEx>
        <w:trPr>
          <w:trHeight w:val="454" w:hRule="atLeast"/>
        </w:trPr>
        <w:tc>
          <w:tcPr>
            <w:tcW w:w="671" w:type="dxa"/>
            <w:vMerge w:val="continue"/>
            <w:tcBorders>
              <w:top w:val="single" w:color="000000" w:sz="4" w:space="0"/>
              <w:left w:val="single" w:color="000000" w:sz="4" w:space="0"/>
              <w:bottom w:val="single" w:color="auto"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1265" w:type="dxa"/>
            <w:tcBorders>
              <w:top w:val="single" w:color="000000" w:sz="4" w:space="0"/>
              <w:left w:val="single" w:color="000000" w:sz="4" w:space="0"/>
              <w:bottom w:val="single" w:color="auto"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资金使用规范性</w:t>
            </w:r>
          </w:p>
        </w:tc>
        <w:tc>
          <w:tcPr>
            <w:tcW w:w="3195"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不符合国家财经法规和财务管理制度以及有关专项资金管理办法的规定，每发现一处扣2分，最高扣8分。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8</w:t>
            </w:r>
          </w:p>
        </w:tc>
        <w:tc>
          <w:tcPr>
            <w:tcW w:w="123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r>
      <w:tr>
        <w:tblPrEx>
          <w:tblLayout w:type="fixed"/>
          <w:tblCellMar>
            <w:top w:w="15" w:type="dxa"/>
            <w:left w:w="15" w:type="dxa"/>
            <w:bottom w:w="15" w:type="dxa"/>
            <w:right w:w="15" w:type="dxa"/>
          </w:tblCellMar>
        </w:tblPrEx>
        <w:trPr>
          <w:trHeight w:val="454" w:hRule="atLeast"/>
        </w:trPr>
        <w:tc>
          <w:tcPr>
            <w:tcW w:w="671"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1265" w:type="dxa"/>
            <w:tcBorders>
              <w:top w:val="single" w:color="auto" w:sz="4" w:space="0"/>
              <w:left w:val="single" w:color="000000"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采购程序规范性</w:t>
            </w:r>
          </w:p>
        </w:tc>
        <w:tc>
          <w:tcPr>
            <w:tcW w:w="3195" w:type="dxa"/>
            <w:tcBorders>
              <w:top w:val="single" w:color="000000" w:sz="4" w:space="0"/>
              <w:left w:val="single" w:color="auto" w:sz="4" w:space="0"/>
              <w:bottom w:val="single" w:color="000000" w:sz="4" w:space="0"/>
              <w:right w:val="single" w:color="000000" w:sz="4" w:space="0"/>
            </w:tcBorders>
            <w:noWrap w:val="0"/>
            <w:vAlign w:val="center"/>
          </w:tcPr>
          <w:p>
            <w:pPr>
              <w:widowControl/>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未按照采购相关法律法规执行政府采购或招投标，扣6分；按照采购相关法律法规执行政府采购或招投标，但未按照规定采购程序执行，扣3分；采购备案资料不健全，每发现1处，扣1分。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6</w:t>
            </w:r>
          </w:p>
        </w:tc>
        <w:tc>
          <w:tcPr>
            <w:tcW w:w="123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r>
      <w:tr>
        <w:tblPrEx>
          <w:tblLayout w:type="fixed"/>
          <w:tblCellMar>
            <w:top w:w="15" w:type="dxa"/>
            <w:left w:w="15" w:type="dxa"/>
            <w:bottom w:w="15" w:type="dxa"/>
            <w:right w:w="15" w:type="dxa"/>
          </w:tblCellMar>
        </w:tblPrEx>
        <w:trPr>
          <w:trHeight w:val="454" w:hRule="atLeast"/>
        </w:trPr>
        <w:tc>
          <w:tcPr>
            <w:tcW w:w="671" w:type="dxa"/>
            <w:vMerge w:val="restart"/>
            <w:tcBorders>
              <w:top w:val="single" w:color="auto" w:sz="4" w:space="0"/>
              <w:left w:val="single" w:color="auto"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kern w:val="0"/>
                <w:szCs w:val="21"/>
                <w:highlight w:val="yellow"/>
                <w:lang w:bidi="ar"/>
              </w:rPr>
            </w:pPr>
            <w:r>
              <w:rPr>
                <w:rFonts w:hint="eastAsia" w:ascii="仿宋" w:hAnsi="仿宋" w:eastAsia="仿宋" w:cs="仿宋"/>
                <w:color w:val="000000"/>
                <w:kern w:val="0"/>
                <w:szCs w:val="21"/>
                <w:lang w:bidi="ar"/>
              </w:rPr>
              <w:t>项目产出</w:t>
            </w:r>
          </w:p>
        </w:tc>
        <w:tc>
          <w:tcPr>
            <w:tcW w:w="1265" w:type="dxa"/>
            <w:tcBorders>
              <w:top w:val="single" w:color="auto"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kern w:val="0"/>
                <w:szCs w:val="21"/>
                <w:highlight w:val="yellow"/>
                <w:lang w:bidi="ar"/>
              </w:rPr>
            </w:pPr>
            <w:r>
              <w:rPr>
                <w:rFonts w:hint="eastAsia" w:ascii="仿宋" w:hAnsi="仿宋" w:eastAsia="仿宋" w:cs="仿宋"/>
                <w:color w:val="000000"/>
                <w:kern w:val="0"/>
                <w:szCs w:val="21"/>
                <w:lang w:bidi="ar"/>
              </w:rPr>
              <w:t>项目计划完成率</w:t>
            </w:r>
          </w:p>
        </w:tc>
        <w:tc>
          <w:tcPr>
            <w:tcW w:w="3195"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仿宋" w:hAnsi="仿宋" w:eastAsia="仿宋" w:cs="仿宋"/>
                <w:color w:val="000000"/>
                <w:kern w:val="0"/>
                <w:szCs w:val="21"/>
                <w:highlight w:val="yellow"/>
                <w:lang w:bidi="ar"/>
              </w:rPr>
            </w:pPr>
            <w:r>
              <w:rPr>
                <w:rFonts w:hint="eastAsia" w:ascii="仿宋" w:hAnsi="仿宋" w:eastAsia="仿宋" w:cs="仿宋"/>
                <w:color w:val="000000"/>
                <w:kern w:val="0"/>
                <w:szCs w:val="21"/>
                <w:lang w:bidi="ar"/>
              </w:rPr>
              <w:t>项目未完成，但有合理原因，并提供相关证明材料，扣4分；无合理原因，项目未完成，扣7分。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kern w:val="0"/>
                <w:szCs w:val="21"/>
                <w:highlight w:val="yellow"/>
                <w:lang w:bidi="ar"/>
              </w:rPr>
            </w:pPr>
            <w:r>
              <w:rPr>
                <w:rFonts w:hint="eastAsia" w:ascii="仿宋" w:hAnsi="仿宋" w:eastAsia="仿宋" w:cs="仿宋"/>
                <w:color w:val="000000"/>
                <w:kern w:val="0"/>
                <w:szCs w:val="21"/>
                <w:lang w:bidi="ar"/>
              </w:rPr>
              <w:t>7</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kern w:val="0"/>
                <w:szCs w:val="21"/>
                <w:highlight w:val="yellow"/>
                <w:lang w:bidi="ar"/>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kern w:val="0"/>
                <w:szCs w:val="21"/>
                <w:highlight w:val="yellow"/>
                <w:lang w:bidi="ar"/>
              </w:rPr>
            </w:pPr>
            <w:r>
              <w:rPr>
                <w:rFonts w:hint="eastAsia" w:ascii="仿宋" w:hAnsi="仿宋" w:eastAsia="仿宋" w:cs="仿宋"/>
                <w:color w:val="000000"/>
                <w:kern w:val="0"/>
                <w:szCs w:val="21"/>
                <w:lang w:bidi="ar"/>
              </w:rPr>
              <w:t>7</w:t>
            </w:r>
          </w:p>
        </w:tc>
        <w:tc>
          <w:tcPr>
            <w:tcW w:w="123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kern w:val="0"/>
                <w:szCs w:val="21"/>
                <w:highlight w:val="yellow"/>
                <w:lang w:bidi="ar"/>
              </w:rPr>
            </w:pPr>
          </w:p>
        </w:tc>
      </w:tr>
      <w:tr>
        <w:tblPrEx>
          <w:tblLayout w:type="fixed"/>
          <w:tblCellMar>
            <w:top w:w="15" w:type="dxa"/>
            <w:left w:w="15" w:type="dxa"/>
            <w:bottom w:w="15" w:type="dxa"/>
            <w:right w:w="15" w:type="dxa"/>
          </w:tblCellMar>
        </w:tblPrEx>
        <w:trPr>
          <w:trHeight w:val="454" w:hRule="atLeast"/>
        </w:trPr>
        <w:tc>
          <w:tcPr>
            <w:tcW w:w="671"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项目质量</w:t>
            </w:r>
          </w:p>
        </w:tc>
        <w:tc>
          <w:tcPr>
            <w:tcW w:w="3195"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按计划，完成工作质量，得8分；但项目质量验收中存在瑕疵，酌情扣分；按计划未完成工作质量，得0分。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8</w:t>
            </w:r>
          </w:p>
        </w:tc>
        <w:tc>
          <w:tcPr>
            <w:tcW w:w="123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r>
      <w:tr>
        <w:tblPrEx>
          <w:tblLayout w:type="fixed"/>
          <w:tblCellMar>
            <w:top w:w="15" w:type="dxa"/>
            <w:left w:w="15" w:type="dxa"/>
            <w:bottom w:w="15" w:type="dxa"/>
            <w:right w:w="15" w:type="dxa"/>
          </w:tblCellMar>
        </w:tblPrEx>
        <w:trPr>
          <w:trHeight w:val="454" w:hRule="atLeast"/>
        </w:trPr>
        <w:tc>
          <w:tcPr>
            <w:tcW w:w="67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项目效益</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经济影响</w:t>
            </w:r>
          </w:p>
        </w:tc>
        <w:tc>
          <w:tcPr>
            <w:tcW w:w="3195"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未起到促进经济发展，扣5分。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5</w:t>
            </w:r>
          </w:p>
        </w:tc>
        <w:tc>
          <w:tcPr>
            <w:tcW w:w="123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r>
      <w:tr>
        <w:tblPrEx>
          <w:tblLayout w:type="fixed"/>
          <w:tblCellMar>
            <w:top w:w="15" w:type="dxa"/>
            <w:left w:w="15" w:type="dxa"/>
            <w:bottom w:w="15" w:type="dxa"/>
            <w:right w:w="15" w:type="dxa"/>
          </w:tblCellMar>
        </w:tblPrEx>
        <w:trPr>
          <w:trHeight w:val="734" w:hRule="atLeast"/>
        </w:trPr>
        <w:tc>
          <w:tcPr>
            <w:tcW w:w="671"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社会影响</w:t>
            </w:r>
          </w:p>
        </w:tc>
        <w:tc>
          <w:tcPr>
            <w:tcW w:w="3195"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未起到促进社会发展，扣5分。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5</w:t>
            </w:r>
          </w:p>
        </w:tc>
        <w:tc>
          <w:tcPr>
            <w:tcW w:w="123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r>
      <w:tr>
        <w:tblPrEx>
          <w:tblLayout w:type="fixed"/>
          <w:tblCellMar>
            <w:top w:w="15" w:type="dxa"/>
            <w:left w:w="15" w:type="dxa"/>
            <w:bottom w:w="15" w:type="dxa"/>
            <w:right w:w="15" w:type="dxa"/>
          </w:tblCellMar>
        </w:tblPrEx>
        <w:trPr>
          <w:trHeight w:val="774" w:hRule="atLeast"/>
        </w:trPr>
        <w:tc>
          <w:tcPr>
            <w:tcW w:w="67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满意度指标</w:t>
            </w:r>
          </w:p>
        </w:tc>
        <w:tc>
          <w:tcPr>
            <w:tcW w:w="126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政府主管部门的满意度</w:t>
            </w:r>
          </w:p>
        </w:tc>
        <w:tc>
          <w:tcPr>
            <w:tcW w:w="3195"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发现政府主管部门对项目严重不满意，扣5分；不满意扣3分。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5</w:t>
            </w:r>
          </w:p>
        </w:tc>
        <w:tc>
          <w:tcPr>
            <w:tcW w:w="123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r>
      <w:tr>
        <w:tblPrEx>
          <w:tblLayout w:type="fixed"/>
          <w:tblCellMar>
            <w:top w:w="15" w:type="dxa"/>
            <w:left w:w="15" w:type="dxa"/>
            <w:bottom w:w="15" w:type="dxa"/>
            <w:right w:w="15" w:type="dxa"/>
          </w:tblCellMar>
        </w:tblPrEx>
        <w:trPr>
          <w:trHeight w:val="595" w:hRule="atLeast"/>
        </w:trPr>
        <w:tc>
          <w:tcPr>
            <w:tcW w:w="671"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126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pPr>
            <w:r>
              <w:rPr>
                <w:rFonts w:hint="eastAsia" w:ascii="仿宋" w:hAnsi="仿宋" w:eastAsia="仿宋" w:cs="仿宋"/>
                <w:color w:val="000000"/>
                <w:kern w:val="0"/>
                <w:szCs w:val="21"/>
                <w:lang w:bidi="ar"/>
              </w:rPr>
              <w:t>受益公众（单位）满意度</w:t>
            </w:r>
          </w:p>
        </w:tc>
        <w:tc>
          <w:tcPr>
            <w:tcW w:w="3195"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发现受益公众（单位）对项目严重不满意，扣5分；不满意扣3分。</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rPr>
            </w:pPr>
            <w:r>
              <w:rPr>
                <w:rFonts w:hint="eastAsia" w:ascii="仿宋" w:hAnsi="仿宋" w:eastAsia="仿宋" w:cs="仿宋"/>
                <w:color w:val="000000"/>
                <w:kern w:val="0"/>
                <w:szCs w:val="21"/>
                <w:lang w:bidi="ar"/>
              </w:rPr>
              <w:t>5</w:t>
            </w:r>
          </w:p>
        </w:tc>
        <w:tc>
          <w:tcPr>
            <w:tcW w:w="123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000000"/>
                <w:szCs w:val="21"/>
                <w:highlight w:val="yellow"/>
              </w:rPr>
            </w:pPr>
          </w:p>
        </w:tc>
      </w:tr>
      <w:tr>
        <w:tblPrEx>
          <w:tblLayout w:type="fixed"/>
          <w:tblCellMar>
            <w:top w:w="15" w:type="dxa"/>
            <w:left w:w="15" w:type="dxa"/>
            <w:bottom w:w="15" w:type="dxa"/>
            <w:right w:w="15" w:type="dxa"/>
          </w:tblCellMar>
        </w:tblPrEx>
        <w:trPr>
          <w:trHeight w:val="595" w:hRule="atLeast"/>
        </w:trPr>
        <w:tc>
          <w:tcPr>
            <w:tcW w:w="1936"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合计</w:t>
            </w:r>
          </w:p>
        </w:tc>
        <w:tc>
          <w:tcPr>
            <w:tcW w:w="319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仿宋" w:hAnsi="仿宋" w:eastAsia="仿宋" w:cs="仿宋"/>
                <w:color w:val="000000"/>
                <w:kern w:val="0"/>
                <w:szCs w:val="21"/>
                <w:lang w:bidi="ar"/>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100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000000"/>
                <w:szCs w:val="21"/>
                <w:highlight w:val="yellow"/>
                <w:lang w:eastAsia="zh-CN"/>
              </w:rPr>
            </w:pPr>
            <w:r>
              <w:rPr>
                <w:rFonts w:hint="eastAsia" w:ascii="仿宋" w:hAnsi="仿宋" w:eastAsia="仿宋" w:cs="仿宋"/>
                <w:color w:val="000000"/>
                <w:kern w:val="0"/>
                <w:szCs w:val="21"/>
                <w:lang w:val="en-US" w:eastAsia="zh-CN" w:bidi="ar"/>
              </w:rPr>
              <w:t>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仿宋" w:hAnsi="仿宋" w:eastAsia="仿宋" w:cs="仿宋"/>
                <w:color w:val="000000"/>
                <w:kern w:val="0"/>
                <w:szCs w:val="21"/>
                <w:lang w:val="en-US" w:eastAsia="zh-CN" w:bidi="ar"/>
              </w:rPr>
            </w:pPr>
            <w:r>
              <w:rPr>
                <w:rFonts w:hint="eastAsia" w:ascii="仿宋" w:hAnsi="仿宋" w:eastAsia="仿宋" w:cs="仿宋"/>
                <w:color w:val="000000"/>
                <w:kern w:val="0"/>
                <w:szCs w:val="21"/>
                <w:lang w:val="en-US" w:eastAsia="zh-CN" w:bidi="ar"/>
              </w:rPr>
              <w:t>98</w:t>
            </w:r>
          </w:p>
        </w:tc>
        <w:tc>
          <w:tcPr>
            <w:tcW w:w="1231"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仿宋" w:hAnsi="仿宋" w:eastAsia="仿宋" w:cs="仿宋"/>
                <w:color w:val="000000"/>
                <w:szCs w:val="21"/>
                <w:highlight w:val="yellow"/>
              </w:rPr>
            </w:pPr>
          </w:p>
        </w:tc>
      </w:tr>
    </w:tbl>
    <w:p>
      <w:pPr>
        <w:numPr>
          <w:ilvl w:val="0"/>
          <w:numId w:val="0"/>
        </w:numPr>
        <w:spacing w:line="560" w:lineRule="exact"/>
        <w:outlineLvl w:val="0"/>
        <w:rPr>
          <w:rFonts w:hint="eastAsia" w:ascii="仿宋" w:hAnsi="仿宋" w:eastAsia="仿宋"/>
          <w:b/>
          <w:sz w:val="30"/>
          <w:szCs w:val="32"/>
        </w:rPr>
      </w:pPr>
    </w:p>
    <w:p>
      <w:pPr>
        <w:pStyle w:val="4"/>
        <w:numPr>
          <w:ilvl w:val="0"/>
          <w:numId w:val="1"/>
        </w:numPr>
        <w:pBdr>
          <w:top w:val="none" w:color="414141" w:sz="0" w:space="0"/>
          <w:left w:val="none" w:color="414141" w:sz="0" w:space="0"/>
          <w:bottom w:val="none" w:color="414141" w:sz="0" w:space="0"/>
          <w:right w:val="none" w:color="414141" w:sz="0" w:space="0"/>
        </w:pBdr>
        <w:spacing w:before="0" w:beforeAutospacing="0" w:after="0" w:afterAutospacing="0" w:line="560" w:lineRule="exact"/>
        <w:ind w:left="0" w:leftChars="0" w:firstLine="602" w:firstLineChars="200"/>
        <w:jc w:val="both"/>
        <w:outlineLvl w:val="0"/>
        <w:rPr>
          <w:rFonts w:hint="eastAsia" w:ascii="仿宋" w:hAnsi="仿宋" w:eastAsia="仿宋" w:cs="Times New Roman"/>
          <w:b/>
          <w:bCs/>
          <w:kern w:val="2"/>
          <w:sz w:val="30"/>
        </w:rPr>
      </w:pPr>
      <w:r>
        <w:rPr>
          <w:rFonts w:hint="eastAsia" w:ascii="仿宋" w:hAnsi="仿宋" w:eastAsia="仿宋" w:cs="Times New Roman"/>
          <w:b/>
          <w:bCs/>
          <w:kern w:val="2"/>
          <w:sz w:val="30"/>
        </w:rPr>
        <w:t>存在的主要问题</w:t>
      </w:r>
    </w:p>
    <w:p>
      <w:pPr>
        <w:spacing w:line="560" w:lineRule="exact"/>
        <w:ind w:firstLine="600" w:firstLineChars="200"/>
        <w:outlineLvl w:val="1"/>
        <w:rPr>
          <w:rFonts w:hint="eastAsia" w:ascii="仿宋" w:hAnsi="仿宋" w:eastAsia="仿宋"/>
          <w:color w:val="000000"/>
          <w:sz w:val="30"/>
          <w:szCs w:val="24"/>
        </w:rPr>
      </w:pPr>
      <w:r>
        <w:rPr>
          <w:rFonts w:hint="eastAsia" w:ascii="仿宋" w:hAnsi="仿宋" w:eastAsia="仿宋"/>
          <w:color w:val="000000"/>
          <w:sz w:val="30"/>
          <w:szCs w:val="24"/>
          <w:lang w:eastAsia="zh-CN"/>
        </w:rPr>
        <w:t>我单位“机构编制管理经费”项目存在得主要问题为</w:t>
      </w:r>
      <w:r>
        <w:rPr>
          <w:rFonts w:hint="eastAsia" w:ascii="仿宋" w:hAnsi="仿宋" w:eastAsia="仿宋"/>
          <w:bCs/>
          <w:sz w:val="30"/>
          <w:szCs w:val="24"/>
        </w:rPr>
        <w:t>绩效目标设定不合理</w:t>
      </w:r>
      <w:r>
        <w:rPr>
          <w:rFonts w:hint="eastAsia" w:ascii="仿宋" w:hAnsi="仿宋" w:eastAsia="仿宋"/>
          <w:bCs/>
          <w:sz w:val="30"/>
          <w:szCs w:val="24"/>
          <w:lang w:eastAsia="zh-CN"/>
        </w:rPr>
        <w:t>，</w:t>
      </w:r>
      <w:r>
        <w:rPr>
          <w:rFonts w:hint="eastAsia" w:ascii="仿宋" w:hAnsi="仿宋" w:eastAsia="仿宋"/>
          <w:color w:val="000000"/>
          <w:sz w:val="30"/>
          <w:szCs w:val="24"/>
        </w:rPr>
        <w:t>绩效目标</w:t>
      </w:r>
      <w:bookmarkStart w:id="0" w:name="_Hlk532652066"/>
      <w:r>
        <w:rPr>
          <w:rFonts w:hint="eastAsia" w:ascii="仿宋" w:hAnsi="仿宋" w:eastAsia="仿宋"/>
          <w:color w:val="000000"/>
          <w:sz w:val="30"/>
          <w:szCs w:val="24"/>
        </w:rPr>
        <w:t>指向不明确</w:t>
      </w:r>
      <w:bookmarkEnd w:id="0"/>
      <w:r>
        <w:rPr>
          <w:rFonts w:hint="eastAsia" w:ascii="仿宋" w:hAnsi="仿宋" w:eastAsia="仿宋"/>
          <w:bCs/>
          <w:sz w:val="30"/>
          <w:szCs w:val="24"/>
        </w:rPr>
        <w:t>、</w:t>
      </w:r>
      <w:r>
        <w:rPr>
          <w:rFonts w:hint="eastAsia" w:ascii="仿宋" w:hAnsi="仿宋" w:eastAsia="仿宋"/>
          <w:color w:val="000000"/>
          <w:sz w:val="30"/>
          <w:szCs w:val="24"/>
        </w:rPr>
        <w:t>细化不充分，项目执行过程有效约束不够，绩效指标体系设计有待完善。</w:t>
      </w:r>
    </w:p>
    <w:p>
      <w:pPr>
        <w:spacing w:line="560" w:lineRule="exact"/>
        <w:ind w:firstLine="600" w:firstLineChars="200"/>
        <w:rPr>
          <w:rFonts w:hint="eastAsia" w:ascii="仿宋" w:hAnsi="仿宋" w:eastAsia="仿宋" w:cs="Times New Roman"/>
          <w:b/>
          <w:bCs/>
          <w:kern w:val="2"/>
          <w:sz w:val="30"/>
        </w:rPr>
      </w:pPr>
      <w:r>
        <w:rPr>
          <w:rFonts w:hint="eastAsia" w:ascii="仿宋" w:hAnsi="仿宋" w:eastAsia="仿宋"/>
          <w:color w:val="000000"/>
          <w:sz w:val="30"/>
          <w:szCs w:val="24"/>
        </w:rPr>
        <w:t>政策依据：《邢台市人民政府印发关于深化推进预算绩效管理意见的通知》（邢政〔2013〕13号）第十五条“绩效目标应当符合以下要求：（一）指向明确。绩效目标要符合国民经济和社会发展规划、部门职能及事业发展规划，并与相应的财政支出范围、方向、效果紧密相关。（二）具体细化。绩效目标应当从数量、质量、成本和时效等方面进行细化，尽量进行定量表述，不能以量化形式表述的，可以采用定性的分级分档形式表述。（三）合理可行。制定绩效目标时要经过调查研究和科学论证，绩效目标要符合客观实际。</w:t>
      </w:r>
      <w:r>
        <w:rPr>
          <w:rFonts w:hint="eastAsia" w:ascii="仿宋" w:hAnsi="仿宋" w:eastAsia="仿宋"/>
          <w:bCs/>
          <w:sz w:val="30"/>
          <w:szCs w:val="24"/>
        </w:rPr>
        <w:t>”</w:t>
      </w:r>
    </w:p>
    <w:p>
      <w:pPr>
        <w:spacing w:line="560" w:lineRule="exact"/>
        <w:ind w:firstLine="602" w:firstLineChars="200"/>
        <w:outlineLvl w:val="0"/>
        <w:rPr>
          <w:rFonts w:hint="eastAsia" w:ascii="仿宋" w:hAnsi="仿宋" w:eastAsia="仿宋"/>
          <w:b/>
          <w:sz w:val="30"/>
          <w:szCs w:val="24"/>
        </w:rPr>
      </w:pPr>
      <w:r>
        <w:rPr>
          <w:rFonts w:hint="eastAsia" w:ascii="仿宋" w:hAnsi="仿宋" w:eastAsia="仿宋"/>
          <w:b/>
          <w:sz w:val="30"/>
          <w:szCs w:val="24"/>
        </w:rPr>
        <w:t>五、综合评价情况及评价结论</w:t>
      </w:r>
    </w:p>
    <w:p>
      <w:pPr>
        <w:spacing w:line="560" w:lineRule="exact"/>
        <w:ind w:firstLine="600" w:firstLineChars="200"/>
        <w:rPr>
          <w:rFonts w:hint="eastAsia" w:ascii="仿宋" w:hAnsi="仿宋" w:eastAsia="仿宋"/>
          <w:color w:val="000000"/>
          <w:sz w:val="30"/>
          <w:szCs w:val="24"/>
        </w:rPr>
      </w:pPr>
      <w:r>
        <w:rPr>
          <w:rFonts w:hint="eastAsia" w:ascii="仿宋" w:hAnsi="仿宋" w:eastAsia="仿宋"/>
          <w:color w:val="000000"/>
          <w:sz w:val="30"/>
          <w:szCs w:val="24"/>
        </w:rPr>
        <w:t>本次绩效评价工作实施中发现，该项目立项基本符合规定，项目资金的支付，</w:t>
      </w:r>
      <w:r>
        <w:rPr>
          <w:rFonts w:hint="eastAsia" w:ascii="仿宋" w:hAnsi="仿宋" w:eastAsia="仿宋"/>
          <w:color w:val="000000"/>
          <w:sz w:val="30"/>
          <w:szCs w:val="24"/>
          <w:lang w:eastAsia="zh-CN"/>
        </w:rPr>
        <w:t>保证了机构编制管理工作顺利开展，</w:t>
      </w:r>
      <w:bookmarkStart w:id="1" w:name="_GoBack"/>
      <w:bookmarkEnd w:id="1"/>
      <w:r>
        <w:rPr>
          <w:rFonts w:hint="eastAsia" w:ascii="仿宋" w:hAnsi="仿宋" w:eastAsia="仿宋"/>
          <w:color w:val="000000"/>
          <w:sz w:val="30"/>
          <w:szCs w:val="24"/>
          <w:lang w:eastAsia="zh-CN"/>
        </w:rPr>
        <w:t>单位</w:t>
      </w:r>
      <w:r>
        <w:rPr>
          <w:rFonts w:hint="eastAsia" w:ascii="仿宋" w:hAnsi="仿宋" w:eastAsia="仿宋"/>
          <w:color w:val="000000"/>
          <w:sz w:val="30"/>
          <w:szCs w:val="24"/>
        </w:rPr>
        <w:t>编制了项目绩效评价报告，但存在绩效指标体系有待完善，绩效目标不明确、目标细化程度不足</w:t>
      </w:r>
      <w:r>
        <w:rPr>
          <w:rFonts w:hint="eastAsia" w:ascii="仿宋" w:hAnsi="仿宋" w:eastAsia="仿宋"/>
          <w:color w:val="000000"/>
          <w:sz w:val="30"/>
          <w:szCs w:val="24"/>
          <w:lang w:eastAsia="zh-CN"/>
        </w:rPr>
        <w:t>等问题</w:t>
      </w:r>
      <w:r>
        <w:rPr>
          <w:rFonts w:hint="eastAsia" w:ascii="仿宋" w:hAnsi="仿宋" w:eastAsia="仿宋"/>
          <w:color w:val="000000"/>
          <w:sz w:val="30"/>
          <w:szCs w:val="24"/>
        </w:rPr>
        <w:t>。</w:t>
      </w:r>
    </w:p>
    <w:p>
      <w:pPr>
        <w:spacing w:line="560" w:lineRule="exact"/>
        <w:ind w:firstLine="600" w:firstLineChars="200"/>
        <w:rPr>
          <w:rFonts w:hint="eastAsia" w:ascii="仿宋" w:hAnsi="仿宋" w:eastAsia="仿宋"/>
          <w:b/>
          <w:sz w:val="30"/>
          <w:szCs w:val="24"/>
        </w:rPr>
      </w:pPr>
      <w:r>
        <w:rPr>
          <w:rFonts w:hint="eastAsia" w:ascii="仿宋" w:hAnsi="仿宋" w:eastAsia="仿宋"/>
          <w:bCs/>
          <w:sz w:val="30"/>
          <w:szCs w:val="24"/>
        </w:rPr>
        <w:t>该项目综合得分</w:t>
      </w:r>
      <w:r>
        <w:rPr>
          <w:rFonts w:hint="eastAsia" w:ascii="仿宋" w:hAnsi="仿宋" w:eastAsia="仿宋"/>
          <w:bCs/>
          <w:sz w:val="30"/>
          <w:szCs w:val="24"/>
          <w:lang w:val="en-US" w:eastAsia="zh-CN"/>
        </w:rPr>
        <w:t>98</w:t>
      </w:r>
      <w:r>
        <w:rPr>
          <w:rFonts w:hint="eastAsia" w:ascii="仿宋" w:hAnsi="仿宋" w:eastAsia="仿宋"/>
          <w:bCs/>
          <w:sz w:val="30"/>
          <w:szCs w:val="24"/>
        </w:rPr>
        <w:t>分，评价结论为良。</w:t>
      </w:r>
    </w:p>
    <w:p>
      <w:pPr>
        <w:numPr>
          <w:ilvl w:val="0"/>
          <w:numId w:val="4"/>
        </w:numPr>
        <w:spacing w:line="560" w:lineRule="exact"/>
        <w:ind w:firstLine="602" w:firstLineChars="200"/>
        <w:outlineLvl w:val="0"/>
        <w:rPr>
          <w:rFonts w:hint="eastAsia" w:ascii="仿宋" w:hAnsi="仿宋" w:eastAsia="仿宋"/>
          <w:b/>
          <w:sz w:val="30"/>
          <w:szCs w:val="24"/>
        </w:rPr>
      </w:pPr>
      <w:r>
        <w:rPr>
          <w:rFonts w:hint="eastAsia" w:ascii="仿宋" w:hAnsi="仿宋" w:eastAsia="仿宋"/>
          <w:b/>
          <w:sz w:val="30"/>
          <w:szCs w:val="24"/>
        </w:rPr>
        <w:t>绩效评价结果应用</w:t>
      </w:r>
    </w:p>
    <w:p>
      <w:pPr>
        <w:spacing w:line="560" w:lineRule="exact"/>
        <w:ind w:firstLine="600" w:firstLineChars="200"/>
        <w:rPr>
          <w:rFonts w:hint="eastAsia" w:ascii="仿宋" w:hAnsi="仿宋" w:eastAsia="仿宋"/>
          <w:b/>
          <w:sz w:val="30"/>
          <w:szCs w:val="24"/>
        </w:rPr>
      </w:pPr>
      <w:r>
        <w:rPr>
          <w:rFonts w:hint="eastAsia" w:ascii="仿宋" w:hAnsi="仿宋" w:eastAsia="仿宋"/>
          <w:color w:val="000000"/>
          <w:sz w:val="30"/>
          <w:szCs w:val="24"/>
        </w:rPr>
        <w:t>本次绩效评价报告仅作为财政部门、预算部门和项目承担单位改进预算管理、编制以后年度预算的参考。绩效评价结果经财政部门同意后，可以按照政府信息公开有关规定在一定范围内公开</w:t>
      </w:r>
      <w:r>
        <w:rPr>
          <w:rFonts w:hint="eastAsia" w:ascii="仿宋" w:hAnsi="仿宋" w:eastAsia="仿宋"/>
          <w:bCs/>
          <w:sz w:val="30"/>
          <w:szCs w:val="24"/>
        </w:rPr>
        <w:t>。</w:t>
      </w:r>
    </w:p>
    <w:p>
      <w:pPr>
        <w:spacing w:line="560" w:lineRule="exact"/>
        <w:ind w:firstLine="602" w:firstLineChars="200"/>
        <w:outlineLvl w:val="0"/>
        <w:rPr>
          <w:rFonts w:hint="eastAsia" w:ascii="仿宋" w:hAnsi="仿宋" w:eastAsia="仿宋"/>
          <w:b/>
          <w:bCs/>
          <w:sz w:val="30"/>
          <w:szCs w:val="24"/>
        </w:rPr>
      </w:pPr>
      <w:r>
        <w:rPr>
          <w:rFonts w:hint="eastAsia" w:ascii="仿宋" w:hAnsi="仿宋" w:eastAsia="仿宋"/>
          <w:b/>
          <w:bCs/>
          <w:sz w:val="30"/>
          <w:szCs w:val="24"/>
        </w:rPr>
        <w:t>七、项目建议</w:t>
      </w:r>
    </w:p>
    <w:p>
      <w:pPr>
        <w:spacing w:line="560" w:lineRule="exact"/>
        <w:ind w:firstLine="600" w:firstLineChars="200"/>
        <w:rPr>
          <w:rFonts w:hint="eastAsia" w:ascii="仿宋" w:hAnsi="仿宋" w:eastAsia="仿宋"/>
          <w:bCs/>
          <w:sz w:val="30"/>
          <w:szCs w:val="24"/>
        </w:rPr>
      </w:pPr>
      <w:r>
        <w:rPr>
          <w:rFonts w:hint="eastAsia" w:ascii="仿宋" w:hAnsi="仿宋" w:eastAsia="仿宋"/>
          <w:bCs/>
          <w:sz w:val="30"/>
          <w:szCs w:val="24"/>
        </w:rPr>
        <w:t>（一）提高资金执行率</w:t>
      </w:r>
    </w:p>
    <w:p>
      <w:pPr>
        <w:spacing w:line="560" w:lineRule="exact"/>
        <w:ind w:firstLine="600" w:firstLineChars="200"/>
        <w:rPr>
          <w:rFonts w:hint="eastAsia" w:ascii="仿宋" w:hAnsi="仿宋" w:eastAsia="仿宋"/>
          <w:bCs/>
          <w:sz w:val="30"/>
          <w:szCs w:val="24"/>
        </w:rPr>
      </w:pPr>
      <w:r>
        <w:rPr>
          <w:rFonts w:hint="eastAsia" w:ascii="仿宋" w:hAnsi="仿宋" w:eastAsia="仿宋"/>
          <w:color w:val="000000"/>
          <w:sz w:val="30"/>
          <w:szCs w:val="24"/>
        </w:rPr>
        <w:t>按规定开展实施项目，加强实施部门预算编制管理工作，如有变更及时上报调整，按时按量完成资金拨付，提高预算资金的针对性和有效性</w:t>
      </w:r>
      <w:r>
        <w:rPr>
          <w:rFonts w:hint="eastAsia" w:ascii="仿宋" w:hAnsi="仿宋" w:eastAsia="仿宋"/>
          <w:bCs/>
          <w:sz w:val="30"/>
          <w:szCs w:val="24"/>
        </w:rPr>
        <w:t>。</w:t>
      </w:r>
    </w:p>
    <w:p>
      <w:pPr>
        <w:spacing w:line="560" w:lineRule="exact"/>
        <w:ind w:firstLine="600" w:firstLineChars="200"/>
        <w:rPr>
          <w:rFonts w:hint="eastAsia" w:ascii="仿宋" w:hAnsi="仿宋" w:eastAsia="仿宋"/>
          <w:bCs/>
          <w:sz w:val="30"/>
          <w:szCs w:val="24"/>
        </w:rPr>
      </w:pPr>
      <w:r>
        <w:rPr>
          <w:rFonts w:hint="eastAsia" w:ascii="仿宋" w:hAnsi="仿宋" w:eastAsia="仿宋"/>
          <w:bCs/>
          <w:sz w:val="30"/>
          <w:szCs w:val="24"/>
        </w:rPr>
        <w:t>（</w:t>
      </w:r>
      <w:r>
        <w:rPr>
          <w:rFonts w:hint="eastAsia" w:ascii="仿宋" w:hAnsi="仿宋" w:eastAsia="仿宋"/>
          <w:bCs/>
          <w:sz w:val="30"/>
          <w:szCs w:val="24"/>
          <w:lang w:eastAsia="zh-CN"/>
        </w:rPr>
        <w:t>二</w:t>
      </w:r>
      <w:r>
        <w:rPr>
          <w:rFonts w:hint="eastAsia" w:ascii="仿宋" w:hAnsi="仿宋" w:eastAsia="仿宋"/>
          <w:bCs/>
          <w:sz w:val="30"/>
          <w:szCs w:val="24"/>
        </w:rPr>
        <w:t>）加强绩效评价力度，提高资金使用效益</w:t>
      </w:r>
    </w:p>
    <w:p>
      <w:pPr>
        <w:spacing w:line="560" w:lineRule="exact"/>
        <w:ind w:firstLine="600" w:firstLineChars="200"/>
        <w:rPr>
          <w:rFonts w:hint="eastAsia" w:ascii="仿宋" w:hAnsi="仿宋" w:eastAsia="仿宋"/>
          <w:bCs/>
          <w:sz w:val="30"/>
          <w:szCs w:val="24"/>
        </w:rPr>
      </w:pPr>
      <w:r>
        <w:rPr>
          <w:rFonts w:hint="eastAsia" w:ascii="仿宋" w:hAnsi="仿宋" w:eastAsia="仿宋"/>
          <w:color w:val="000000"/>
          <w:sz w:val="30"/>
          <w:szCs w:val="24"/>
        </w:rPr>
        <w:t>根据专项资金项目的特点，研究制定更为科学、合理的绩效指标体系，有针对性地加强对专项资金项目执行和经费使用情况的绩效评价考核，促进项目按要求出成果、出效益</w:t>
      </w:r>
      <w:r>
        <w:rPr>
          <w:rFonts w:hint="eastAsia" w:ascii="仿宋" w:hAnsi="仿宋" w:eastAsia="仿宋"/>
          <w:bCs/>
          <w:sz w:val="30"/>
          <w:szCs w:val="24"/>
        </w:rPr>
        <w:t>。</w:t>
      </w:r>
    </w:p>
    <w:p>
      <w:pPr>
        <w:spacing w:line="560" w:lineRule="exact"/>
        <w:ind w:firstLine="600" w:firstLineChars="200"/>
        <w:rPr>
          <w:rFonts w:hint="eastAsia" w:ascii="仿宋" w:hAnsi="仿宋" w:eastAsia="仿宋"/>
          <w:bCs/>
          <w:sz w:val="30"/>
          <w:szCs w:val="24"/>
        </w:rPr>
      </w:pPr>
    </w:p>
    <w:p>
      <w:pPr>
        <w:spacing w:line="560" w:lineRule="exact"/>
        <w:ind w:firstLine="600" w:firstLineChars="200"/>
        <w:rPr>
          <w:rFonts w:hint="eastAsia" w:ascii="仿宋" w:hAnsi="仿宋" w:eastAsia="仿宋"/>
          <w:bCs/>
          <w:sz w:val="30"/>
          <w:szCs w:val="24"/>
        </w:rPr>
      </w:pPr>
    </w:p>
    <w:p>
      <w:pPr>
        <w:spacing w:line="560" w:lineRule="exact"/>
        <w:ind w:firstLine="3300" w:firstLineChars="1100"/>
        <w:rPr>
          <w:rFonts w:hint="eastAsia" w:ascii="仿宋" w:hAnsi="仿宋" w:eastAsia="仿宋"/>
          <w:bCs/>
          <w:sz w:val="30"/>
          <w:szCs w:val="24"/>
          <w:lang w:val="en-US" w:eastAsia="zh-CN"/>
        </w:rPr>
      </w:pPr>
      <w:r>
        <w:rPr>
          <w:rFonts w:hint="eastAsia" w:ascii="仿宋" w:hAnsi="仿宋" w:eastAsia="仿宋"/>
          <w:bCs/>
          <w:sz w:val="30"/>
          <w:szCs w:val="24"/>
          <w:lang w:val="en-US" w:eastAsia="zh-CN"/>
        </w:rPr>
        <w:t>中共隆尧县委机构编制委员会办公室</w:t>
      </w:r>
    </w:p>
    <w:p>
      <w:pPr>
        <w:spacing w:line="560" w:lineRule="exact"/>
        <w:ind w:firstLine="600" w:firstLineChars="200"/>
        <w:rPr>
          <w:rFonts w:hint="eastAsia" w:ascii="仿宋_GB2312" w:hAnsi="仿宋_GB2312" w:eastAsia="仿宋_GB2312" w:cs="仿宋_GB2312"/>
          <w:b/>
          <w:color w:val="000000"/>
          <w:sz w:val="36"/>
          <w:szCs w:val="36"/>
          <w:lang w:eastAsia="zh-CN"/>
        </w:rPr>
      </w:pPr>
      <w:r>
        <w:rPr>
          <w:rFonts w:hint="eastAsia" w:ascii="仿宋" w:hAnsi="仿宋" w:eastAsia="仿宋"/>
          <w:bCs/>
          <w:sz w:val="30"/>
          <w:szCs w:val="24"/>
          <w:lang w:val="en-US" w:eastAsia="zh-CN"/>
        </w:rPr>
        <w:t xml:space="preserve">                           2020年5月28日</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8CF1AE0"/>
    <w:multiLevelType w:val="singleLevel"/>
    <w:tmpl w:val="C8CF1AE0"/>
    <w:lvl w:ilvl="0" w:tentative="0">
      <w:start w:val="1"/>
      <w:numFmt w:val="chineseCounting"/>
      <w:suff w:val="nothing"/>
      <w:lvlText w:val="（%1）"/>
      <w:lvlJc w:val="left"/>
      <w:rPr>
        <w:rFonts w:hint="eastAsia"/>
      </w:rPr>
    </w:lvl>
  </w:abstractNum>
  <w:abstractNum w:abstractNumId="1">
    <w:nsid w:val="F607E99A"/>
    <w:multiLevelType w:val="singleLevel"/>
    <w:tmpl w:val="F607E99A"/>
    <w:lvl w:ilvl="0" w:tentative="0">
      <w:start w:val="1"/>
      <w:numFmt w:val="chineseCounting"/>
      <w:suff w:val="nothing"/>
      <w:lvlText w:val="%1、"/>
      <w:lvlJc w:val="left"/>
      <w:rPr>
        <w:rFonts w:hint="eastAsia"/>
      </w:rPr>
    </w:lvl>
  </w:abstractNum>
  <w:abstractNum w:abstractNumId="2">
    <w:nsid w:val="21217937"/>
    <w:multiLevelType w:val="singleLevel"/>
    <w:tmpl w:val="21217937"/>
    <w:lvl w:ilvl="0" w:tentative="0">
      <w:start w:val="1"/>
      <w:numFmt w:val="chineseCounting"/>
      <w:suff w:val="nothing"/>
      <w:lvlText w:val="（%1）"/>
      <w:lvlJc w:val="left"/>
      <w:rPr>
        <w:rFonts w:hint="eastAsia"/>
      </w:rPr>
    </w:lvl>
  </w:abstractNum>
  <w:abstractNum w:abstractNumId="3">
    <w:nsid w:val="64F270FE"/>
    <w:multiLevelType w:val="singleLevel"/>
    <w:tmpl w:val="64F270FE"/>
    <w:lvl w:ilvl="0" w:tentative="0">
      <w:start w:val="6"/>
      <w:numFmt w:val="chineseCounting"/>
      <w:suff w:val="nothing"/>
      <w:lvlText w:val="%1、"/>
      <w:lvlJc w:val="left"/>
      <w:rPr>
        <w:rFonts w:hint="eastAsia"/>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2212C4D"/>
    <w:rsid w:val="01EA0E64"/>
    <w:rsid w:val="03B667C4"/>
    <w:rsid w:val="041F426D"/>
    <w:rsid w:val="100A534F"/>
    <w:rsid w:val="12212C4D"/>
    <w:rsid w:val="15066184"/>
    <w:rsid w:val="151C77E1"/>
    <w:rsid w:val="1A2C72EA"/>
    <w:rsid w:val="22307DE4"/>
    <w:rsid w:val="2C9847CC"/>
    <w:rsid w:val="2EEF0D5B"/>
    <w:rsid w:val="30801239"/>
    <w:rsid w:val="312E6D7B"/>
    <w:rsid w:val="31D93DAA"/>
    <w:rsid w:val="335D0886"/>
    <w:rsid w:val="36970FD0"/>
    <w:rsid w:val="38615BBC"/>
    <w:rsid w:val="3DC53393"/>
    <w:rsid w:val="3F396012"/>
    <w:rsid w:val="422A5B5B"/>
    <w:rsid w:val="42812864"/>
    <w:rsid w:val="43CC0BD3"/>
    <w:rsid w:val="466A1773"/>
    <w:rsid w:val="474E557D"/>
    <w:rsid w:val="48635F73"/>
    <w:rsid w:val="48D27CD3"/>
    <w:rsid w:val="4A853EC5"/>
    <w:rsid w:val="59EF6C82"/>
    <w:rsid w:val="5A78111D"/>
    <w:rsid w:val="5E745574"/>
    <w:rsid w:val="60006901"/>
    <w:rsid w:val="61A37D3F"/>
    <w:rsid w:val="627852C6"/>
    <w:rsid w:val="644A7831"/>
    <w:rsid w:val="64B14651"/>
    <w:rsid w:val="68C831C1"/>
    <w:rsid w:val="6A6904C7"/>
    <w:rsid w:val="6C4236C3"/>
    <w:rsid w:val="6C4F07F9"/>
    <w:rsid w:val="6E963033"/>
    <w:rsid w:val="6FE47059"/>
    <w:rsid w:val="6FF67250"/>
    <w:rsid w:val="75A233F4"/>
    <w:rsid w:val="77B73A48"/>
    <w:rsid w:val="780B1190"/>
    <w:rsid w:val="7AB77A4A"/>
    <w:rsid w:val="7ACE597B"/>
    <w:rsid w:val="7D421F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6">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21</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2020-05-26T08:13:00Z</dcterms:created>
  <dc:creator>lenovo</dc:creator>
  <cp:lastModifiedBy>Administrator</cp:lastModifiedBy>
  <cp:lastPrinted>2020-05-28T06:25:42Z</cp:lastPrinted>
  <dcterms:modified xsi:type="dcterms:W3CDTF">2020-05-28T06:28:56Z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